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9be1ac0250fc641c85d92eefbe4ea970ed84e51"/>
    <w:p>
      <w:pPr>
        <w:pStyle w:val="Heading1"/>
      </w:pPr>
      <w:r>
        <w:t xml:space="preserve">Guion breve para reunion con Gerencia (SGC - avance ICA)</w:t>
      </w:r>
    </w:p>
    <w:p>
      <w:pPr>
        <w:pStyle w:val="FirstParagraph"/>
      </w:pPr>
      <w:r>
        <w:rPr>
          <w:b/>
          <w:bCs/>
        </w:rPr>
        <w:t xml:space="preserve">Duracion sugerida</w:t>
      </w:r>
      <w:r>
        <w:t xml:space="preserve">: 8-10 minutos</w:t>
      </w:r>
      <w:r>
        <w:t xml:space="preserve"> </w:t>
      </w:r>
      <w:r>
        <w:rPr>
          <w:b/>
          <w:bCs/>
        </w:rPr>
        <w:t xml:space="preserve">Fecha</w:t>
      </w:r>
      <w:r>
        <w:t xml:space="preserve">: 2026-02-18</w:t>
      </w:r>
    </w:p>
    <w:bookmarkStart w:id="9" w:name="apertura-1-min"/>
    <w:p>
      <w:pPr>
        <w:pStyle w:val="Heading2"/>
      </w:pPr>
      <w:r>
        <w:t xml:space="preserve">1) Apertura (1 min)</w:t>
      </w:r>
    </w:p>
    <w:p>
      <w:pPr>
        <w:pStyle w:val="FirstParagraph"/>
      </w:pPr>
      <w:r>
        <w:t xml:space="preserve">Hoy revisamos el avance del SGC frente a requerimientos ICA, enfocados en el numeral 3 del Anexo I-B (procedimientos operativos y evidencia de ejecucion).</w:t>
      </w:r>
    </w:p>
    <w:bookmarkEnd w:id="9"/>
    <w:bookmarkStart w:id="10" w:name="mensaje-principal-1-min"/>
    <w:p>
      <w:pPr>
        <w:pStyle w:val="Heading2"/>
      </w:pPr>
      <w:r>
        <w:t xml:space="preserve">2) Mensaje principal (1 min)</w:t>
      </w:r>
    </w:p>
    <w:p>
      <w:pPr>
        <w:pStyle w:val="FirstParagraph"/>
      </w:pPr>
      <w:r>
        <w:t xml:space="preserve">El componente documental critico ya esta estructurado y listo para auditoria: se completo el modulo 3 con procedimientos, anexos, formatos y registros, y ya tenemos paquete en formato DOCX para consulta rapida.</w:t>
      </w:r>
    </w:p>
    <w:bookmarkEnd w:id="10"/>
    <w:bookmarkStart w:id="11" w:name="logros-concretos-2-min"/>
    <w:p>
      <w:pPr>
        <w:pStyle w:val="Heading2"/>
      </w:pPr>
      <w:r>
        <w:t xml:space="preserve">3) Logros concretos (2 min)</w:t>
      </w:r>
    </w:p>
    <w:p>
      <w:pPr>
        <w:pStyle w:val="Compact"/>
        <w:numPr>
          <w:ilvl w:val="0"/>
          <w:numId w:val="1001"/>
        </w:numPr>
      </w:pPr>
      <w:r>
        <w:t xml:space="preserve">Cobertura del numeral 3 ICA:</w:t>
      </w:r>
      <w:r>
        <w:t xml:space="preserve"> </w:t>
      </w:r>
      <w:r>
        <w:rPr>
          <w:b/>
          <w:bCs/>
        </w:rPr>
        <w:t xml:space="preserve">18 POE + 2 Actas N/A</w:t>
      </w:r>
      <w:r>
        <w:t xml:space="preserve"> </w:t>
      </w:r>
      <w:r>
        <w:t xml:space="preserve">(3.04 y 3.07).</w:t>
      </w:r>
    </w:p>
    <w:p>
      <w:pPr>
        <w:pStyle w:val="Compact"/>
        <w:numPr>
          <w:ilvl w:val="0"/>
          <w:numId w:val="1001"/>
        </w:numPr>
      </w:pPr>
      <w:r>
        <w:t xml:space="preserve">Cierre de brecha critica:</w:t>
      </w:r>
      <w:r>
        <w:t xml:space="preserve"> </w:t>
      </w:r>
      <w:r>
        <w:rPr>
          <w:rStyle w:val="VerbatimChar"/>
        </w:rPr>
        <w:t xml:space="preserve">POE_3.02_Limpieza_Desinfeccion_V1</w:t>
      </w:r>
      <w:r>
        <w:t xml:space="preserve"> </w:t>
      </w:r>
      <w:r>
        <w:t xml:space="preserve">(pilar 9).</w:t>
      </w:r>
    </w:p>
    <w:p>
      <w:pPr>
        <w:pStyle w:val="Compact"/>
        <w:numPr>
          <w:ilvl w:val="0"/>
          <w:numId w:val="1001"/>
        </w:numPr>
      </w:pPr>
      <w:r>
        <w:t xml:space="preserve">Conversion documental finalizada:</w:t>
      </w:r>
      <w:r>
        <w:t xml:space="preserve"> </w:t>
      </w:r>
      <w:r>
        <w:rPr>
          <w:b/>
          <w:bCs/>
        </w:rPr>
        <w:t xml:space="preserve">54 archivos</w:t>
      </w:r>
      <w:r>
        <w:t xml:space="preserve"> </w:t>
      </w:r>
      <w:r>
        <w:t xml:space="preserve">convertidos de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(0 fallos).</w:t>
      </w:r>
    </w:p>
    <w:p>
      <w:pPr>
        <w:pStyle w:val="Compact"/>
        <w:numPr>
          <w:ilvl w:val="0"/>
          <w:numId w:val="1001"/>
        </w:numPr>
      </w:pPr>
      <w:r>
        <w:t xml:space="preserve">Indice maestro de auditoria listo en</w:t>
      </w:r>
      <w:r>
        <w:t xml:space="preserve"> </w:t>
      </w:r>
      <w:r>
        <w:rPr>
          <w:rStyle w:val="VerbatimChar"/>
        </w:rPr>
        <w:t xml:space="preserve">00_Inbox/Indice_Maestro_Auditoria_ICA_Modulo_3_V1.docx</w:t>
      </w:r>
      <w:r>
        <w:t xml:space="preserve">.</w:t>
      </w:r>
    </w:p>
    <w:bookmarkEnd w:id="11"/>
    <w:bookmarkStart w:id="12" w:name="estado-semaforo-1-min"/>
    <w:p>
      <w:pPr>
        <w:pStyle w:val="Heading2"/>
      </w:pPr>
      <w:r>
        <w:t xml:space="preserve">4) Estado semaforo (1 min)</w:t>
      </w:r>
    </w:p>
    <w:p>
      <w:pPr>
        <w:pStyle w:val="Compact"/>
        <w:numPr>
          <w:ilvl w:val="0"/>
          <w:numId w:val="1002"/>
        </w:numPr>
      </w:pPr>
      <w:r>
        <w:t xml:space="preserve">Documentacion y trazabilidad del modulo 3:</w:t>
      </w:r>
      <w:r>
        <w:t xml:space="preserve"> </w:t>
      </w:r>
      <w:r>
        <w:rPr>
          <w:b/>
          <w:bCs/>
        </w:rPr>
        <w:t xml:space="preserve">VERDE</w:t>
      </w:r>
    </w:p>
    <w:p>
      <w:pPr>
        <w:pStyle w:val="Compact"/>
        <w:numPr>
          <w:ilvl w:val="0"/>
          <w:numId w:val="1002"/>
        </w:numPr>
      </w:pPr>
      <w:r>
        <w:t xml:space="preserve">Implementacion en campo (pilotos con firma):</w:t>
      </w:r>
      <w:r>
        <w:t xml:space="preserve"> </w:t>
      </w:r>
      <w:r>
        <w:rPr>
          <w:b/>
          <w:bCs/>
        </w:rPr>
        <w:t xml:space="preserve">AMARILLO</w:t>
      </w:r>
    </w:p>
    <w:p>
      <w:pPr>
        <w:pStyle w:val="Compact"/>
        <w:numPr>
          <w:ilvl w:val="0"/>
          <w:numId w:val="1002"/>
        </w:numPr>
      </w:pPr>
      <w:r>
        <w:t xml:space="preserve">Brechas complementarias (asesor tecnico y soportes externos):</w:t>
      </w:r>
      <w:r>
        <w:t xml:space="preserve"> </w:t>
      </w:r>
      <w:r>
        <w:rPr>
          <w:b/>
          <w:bCs/>
        </w:rPr>
        <w:t xml:space="preserve">AMARILLO</w:t>
      </w:r>
    </w:p>
    <w:bookmarkEnd w:id="12"/>
    <w:bookmarkStart w:id="13" w:name="X2f4fe4c7a82adbeee3c06245e7bb99bb4ad48cd"/>
    <w:p>
      <w:pPr>
        <w:pStyle w:val="Heading2"/>
      </w:pPr>
      <w:r>
        <w:t xml:space="preserve">5) Lo que ya quedo listo para ejecutar (2 min)</w:t>
      </w:r>
    </w:p>
    <w:p>
      <w:pPr>
        <w:pStyle w:val="FirstParagraph"/>
      </w:pPr>
      <w:r>
        <w:t xml:space="preserve">Se dejaron creadas y precargadas 7 carpetas de piloto para los POEs nuevos:</w:t>
      </w:r>
    </w:p>
    <w:p>
      <w:pPr>
        <w:pStyle w:val="Compact"/>
        <w:numPr>
          <w:ilvl w:val="0"/>
          <w:numId w:val="1003"/>
        </w:numPr>
      </w:pPr>
      <w:r>
        <w:t xml:space="preserve">3.01 Recepcion y almacenamiento MP</w:t>
      </w:r>
    </w:p>
    <w:p>
      <w:pPr>
        <w:pStyle w:val="Compact"/>
        <w:numPr>
          <w:ilvl w:val="0"/>
          <w:numId w:val="1003"/>
        </w:numPr>
      </w:pPr>
      <w:r>
        <w:t xml:space="preserve">3.02 Limpieza y desinfeccion</w:t>
      </w:r>
    </w:p>
    <w:p>
      <w:pPr>
        <w:pStyle w:val="Compact"/>
        <w:numPr>
          <w:ilvl w:val="0"/>
          <w:numId w:val="1003"/>
        </w:numPr>
      </w:pPr>
      <w:r>
        <w:t xml:space="preserve">3.11 Codificacion de lotes</w:t>
      </w:r>
    </w:p>
    <w:p>
      <w:pPr>
        <w:pStyle w:val="Compact"/>
        <w:numPr>
          <w:ilvl w:val="0"/>
          <w:numId w:val="1003"/>
        </w:numPr>
      </w:pPr>
      <w:r>
        <w:t xml:space="preserve">3.13 Muestreo y control de calidad</w:t>
      </w:r>
    </w:p>
    <w:p>
      <w:pPr>
        <w:pStyle w:val="Compact"/>
        <w:numPr>
          <w:ilvl w:val="0"/>
          <w:numId w:val="1003"/>
        </w:numPr>
      </w:pPr>
      <w:r>
        <w:t xml:space="preserve">3.15 Higiene y seguridad industrial</w:t>
      </w:r>
    </w:p>
    <w:p>
      <w:pPr>
        <w:pStyle w:val="Compact"/>
        <w:numPr>
          <w:ilvl w:val="0"/>
          <w:numId w:val="1003"/>
        </w:numPr>
      </w:pPr>
      <w:r>
        <w:t xml:space="preserve">3.16 Servicio al cliente y PQR</w:t>
      </w:r>
    </w:p>
    <w:p>
      <w:pPr>
        <w:pStyle w:val="Compact"/>
        <w:numPr>
          <w:ilvl w:val="0"/>
          <w:numId w:val="1003"/>
        </w:numPr>
      </w:pPr>
      <w:r>
        <w:t xml:space="preserve">3.17 Almacenamiento de producto terminado</w:t>
      </w:r>
    </w:p>
    <w:p>
      <w:pPr>
        <w:pStyle w:val="FirstParagraph"/>
      </w:pPr>
      <w:r>
        <w:t xml:space="preserve">Cada carpeta ya tiene acta y checklist en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para diligenciar en planta.</w:t>
      </w:r>
    </w:p>
    <w:bookmarkEnd w:id="13"/>
    <w:bookmarkStart w:id="14" w:name="solicitudes-de-decision-a-gerencia-2-min"/>
    <w:p>
      <w:pPr>
        <w:pStyle w:val="Heading2"/>
      </w:pPr>
      <w:r>
        <w:t xml:space="preserve">6) Solicitudes de decision a Gerencia (2 min)</w:t>
      </w:r>
    </w:p>
    <w:p>
      <w:pPr>
        <w:pStyle w:val="Compact"/>
        <w:numPr>
          <w:ilvl w:val="0"/>
          <w:numId w:val="1004"/>
        </w:numPr>
      </w:pPr>
      <w:r>
        <w:t xml:space="preserve">Confirmar ventana operativa de pilotos (fecha y responsables por area).</w:t>
      </w:r>
    </w:p>
    <w:p>
      <w:pPr>
        <w:pStyle w:val="Compact"/>
        <w:numPr>
          <w:ilvl w:val="0"/>
          <w:numId w:val="1004"/>
        </w:numPr>
      </w:pPr>
      <w:r>
        <w:t xml:space="preserve">Confirmar politica de firma interna semanal para evitar acumulados.</w:t>
      </w:r>
    </w:p>
    <w:p>
      <w:pPr>
        <w:pStyle w:val="Compact"/>
        <w:numPr>
          <w:ilvl w:val="0"/>
          <w:numId w:val="1004"/>
        </w:numPr>
      </w:pPr>
      <w:r>
        <w:t xml:space="preserve">Priorizar cierre de dos frentes complementarios:</w:t>
      </w:r>
    </w:p>
    <w:p>
      <w:pPr>
        <w:pStyle w:val="Compact"/>
        <w:numPr>
          <w:ilvl w:val="1"/>
          <w:numId w:val="1005"/>
        </w:numPr>
      </w:pPr>
      <w:r>
        <w:t xml:space="preserve">Formalizacion de asesor tecnico.</w:t>
      </w:r>
    </w:p>
    <w:p>
      <w:pPr>
        <w:pStyle w:val="Compact"/>
        <w:numPr>
          <w:ilvl w:val="1"/>
          <w:numId w:val="1005"/>
        </w:numPr>
      </w:pPr>
      <w:r>
        <w:t xml:space="preserve">Consolidacion de soportes de laboratorio externo.</w:t>
      </w:r>
    </w:p>
    <w:bookmarkEnd w:id="14"/>
    <w:bookmarkStart w:id="15" w:name="cierre-1-min"/>
    <w:p>
      <w:pPr>
        <w:pStyle w:val="Heading2"/>
      </w:pPr>
      <w:r>
        <w:t xml:space="preserve">7) Cierre (1 min)</w:t>
      </w:r>
    </w:p>
    <w:p>
      <w:pPr>
        <w:pStyle w:val="FirstParagraph"/>
      </w:pPr>
      <w:r>
        <w:t xml:space="preserve">La base documental para auditoria ICA ya esta en estado utilizable. El siguiente hito es convertirlo en evidencia real de ejecucion con los 7 pilotos y sus firmas.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2026-02-18T10:40:57Z</dcterms:created>
  <dcterms:modified xsi:type="dcterms:W3CDTF">2026-02-18T10:40:57Z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