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b3b2d19f4e82a1e48a4a8c25efebf2378d47b4"/>
    <w:p>
      <w:pPr>
        <w:pStyle w:val="Heading1"/>
      </w:pPr>
      <w:r>
        <w:t xml:space="preserve">ANX 3.01-02 - CONDICIONES DE ALMACENAMIENTO DE MP</w:t>
      </w:r>
    </w:p>
    <w:p>
      <w:pPr>
        <w:pStyle w:val="Compact"/>
        <w:numPr>
          <w:ilvl w:val="0"/>
          <w:numId w:val="1001"/>
        </w:numPr>
      </w:pPr>
      <w:r>
        <w:t xml:space="preserve">Mantener MP en estiba y separada del piso y pared.</w:t>
      </w:r>
    </w:p>
    <w:p>
      <w:pPr>
        <w:pStyle w:val="Compact"/>
        <w:numPr>
          <w:ilvl w:val="0"/>
          <w:numId w:val="1001"/>
        </w:numPr>
      </w:pPr>
      <w:r>
        <w:t xml:space="preserve">Conservar en area seca y ventilada.</w:t>
      </w:r>
    </w:p>
    <w:p>
      <w:pPr>
        <w:pStyle w:val="Compact"/>
        <w:numPr>
          <w:ilvl w:val="0"/>
          <w:numId w:val="1001"/>
        </w:numPr>
      </w:pPr>
      <w:r>
        <w:t xml:space="preserve">Segregar por compatibilidad quimica y estatus.</w:t>
      </w:r>
    </w:p>
    <w:p>
      <w:pPr>
        <w:pStyle w:val="Compact"/>
        <w:numPr>
          <w:ilvl w:val="0"/>
          <w:numId w:val="1001"/>
        </w:numPr>
      </w:pPr>
      <w:r>
        <w:t xml:space="preserve">Aplicar rotacion FEFO cuando aplique por vencimiento.</w:t>
      </w:r>
    </w:p>
    <w:p>
      <w:pPr>
        <w:pStyle w:val="Compact"/>
        <w:numPr>
          <w:ilvl w:val="0"/>
          <w:numId w:val="1001"/>
        </w:numPr>
      </w:pPr>
      <w:r>
        <w:t xml:space="preserve">Identificar claramente lotes en cuarentena, aprobados y rechazados.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