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af70545039ffa230c2166e52bc1513d39e18df"/>
    <w:p>
      <w:pPr>
        <w:pStyle w:val="Heading1"/>
      </w:pPr>
      <w:r>
        <w:t xml:space="preserve">ANX 3.02-01 - PRODUCTOS DE LIMPIEZA AUTORIZADOS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DOSIS REFERENCIAL</w:t>
            </w:r>
          </w:p>
        </w:tc>
        <w:tc>
          <w:tcPr/>
          <w:p>
            <w:pPr>
              <w:pStyle w:val="Compact"/>
            </w:pPr>
            <w:r>
              <w:t xml:space="preserve">OBSERVACION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Detergente neutro</w:t>
            </w:r>
          </w:p>
        </w:tc>
        <w:tc>
          <w:tcPr/>
          <w:p>
            <w:pPr>
              <w:pStyle w:val="Compact"/>
            </w:pPr>
            <w:r>
              <w:t xml:space="preserve">Limpieza general</w:t>
            </w:r>
          </w:p>
        </w:tc>
        <w:tc>
          <w:tcPr/>
          <w:p>
            <w:pPr>
              <w:pStyle w:val="Compact"/>
            </w:pPr>
            <w:r>
              <w:t xml:space="preserve">Segun fabricante</w:t>
            </w:r>
          </w:p>
        </w:tc>
        <w:tc>
          <w:tcPr/>
          <w:p>
            <w:pPr>
              <w:pStyle w:val="Compact"/>
            </w:pPr>
            <w:r>
              <w:t xml:space="preserve">Enjuagar si hay contacto con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Desinfectante base amonio cuaternario</w:t>
            </w:r>
          </w:p>
        </w:tc>
        <w:tc>
          <w:tcPr/>
          <w:p>
            <w:pPr>
              <w:pStyle w:val="Compact"/>
            </w:pPr>
            <w:r>
              <w:t xml:space="preserve">Superficies no porosas</w:t>
            </w:r>
          </w:p>
        </w:tc>
        <w:tc>
          <w:tcPr/>
          <w:p>
            <w:pPr>
              <w:pStyle w:val="Compact"/>
            </w:pPr>
            <w:r>
              <w:t xml:space="preserve">Segun ficha tecnica</w:t>
            </w:r>
          </w:p>
        </w:tc>
        <w:tc>
          <w:tcPr/>
          <w:p>
            <w:pPr>
              <w:pStyle w:val="Compact"/>
            </w:pPr>
            <w:r>
              <w:t xml:space="preserve">Respetar tiempo de 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Alcohol 70%</w:t>
            </w:r>
          </w:p>
        </w:tc>
        <w:tc>
          <w:tcPr/>
          <w:p>
            <w:pPr>
              <w:pStyle w:val="Compact"/>
            </w:pPr>
            <w:r>
              <w:t xml:space="preserve">Puntos de contacto rapido</w:t>
            </w:r>
          </w:p>
        </w:tc>
        <w:tc>
          <w:tcPr/>
          <w:p>
            <w:pPr>
              <w:pStyle w:val="Compact"/>
            </w:pPr>
            <w:r>
              <w:t xml:space="preserve">Aplicacion directa</w:t>
            </w:r>
          </w:p>
        </w:tc>
        <w:tc>
          <w:tcPr/>
          <w:p>
            <w:pPr>
              <w:pStyle w:val="Compact"/>
            </w:pPr>
            <w:r>
              <w:t xml:space="preserve">Solo para superficies compatibles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2026-02-18T10:33:51Z</dcterms:created>
  <dcterms:modified xsi:type="dcterms:W3CDTF">2026-02-18T10:33:51Z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