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d4bd5b74eedc21bd3637cf4c85ade2f1a5500b3"/>
    <w:p>
      <w:pPr>
        <w:pStyle w:val="Heading1"/>
      </w:pPr>
      <w:r>
        <w:t xml:space="preserve">PROCEDIMIENTO OPERATIVO ESTANDARIZADO: MEZCLA Y HOMOGENIZACIÓN</w:t>
      </w:r>
    </w:p>
    <w:p>
      <w:pPr>
        <w:pStyle w:val="FirstParagraph"/>
      </w:pPr>
      <w:r>
        <w:t xml:space="preserve">CÓDIGO | VERSIÓN | VIGENCIA | PRÓXIMA REVISIÓN |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b/>
          <w:bCs/>
        </w:rPr>
        <w:t xml:space="preserve">CGC-POE-3.06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2026-02-17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12 meses o ante cambio regulatorio</w:t>
      </w:r>
      <w:r>
        <w:t xml:space="preserve"> </w:t>
      </w:r>
      <w:r>
        <w:t xml:space="preserve">|</w:t>
      </w:r>
    </w:p>
    <w:p>
      <w:r>
        <w:pict>
          <v:rect style="width:0;height:1.5pt" o:hralign="center" o:hrstd="t" o:hr="t"/>
        </w:pict>
      </w:r>
    </w:p>
    <w:bookmarkStart w:id="9" w:name="objetivo"/>
    <w:p>
      <w:pPr>
        <w:pStyle w:val="Heading2"/>
      </w:pPr>
      <w:r>
        <w:t xml:space="preserve">1. OBJETIVO</w:t>
      </w:r>
    </w:p>
    <w:p>
      <w:pPr>
        <w:pStyle w:val="FirstParagraph"/>
      </w:pPr>
      <w:r>
        <w:t xml:space="preserve">Estandarizar las operaciones de carga, mezcla y descarga para garantizar la homogeneidad química y física de cada lote de fertilizante o acondicionador producido, asegurando que cada unidad de producto final contenga la concentración de nutrientes declarada en el Registro ICA.</w:t>
      </w:r>
    </w:p>
    <w:bookmarkEnd w:id="9"/>
    <w:bookmarkStart w:id="10" w:name="alcance"/>
    <w:p>
      <w:pPr>
        <w:pStyle w:val="Heading2"/>
      </w:pPr>
      <w:r>
        <w:t xml:space="preserve">2. ALCANCE</w:t>
      </w:r>
    </w:p>
    <w:p>
      <w:pPr>
        <w:pStyle w:val="FirstParagraph"/>
      </w:pPr>
      <w:r>
        <w:t xml:space="preserve">Este procedimiento aplica a todos los procesos de mezcla física (blending) y reacciones de neutralización simple ejecutados en los equipos mezcladores de la planta de</w:t>
      </w:r>
      <w:r>
        <w:t xml:space="preserve"> </w:t>
      </w:r>
      <w:r>
        <w:rPr>
          <w:b/>
          <w:bCs/>
        </w:rPr>
        <w:t xml:space="preserve">CALFERQUIM S.A.S.</w:t>
      </w:r>
    </w:p>
    <w:bookmarkEnd w:id="10"/>
    <w:bookmarkStart w:id="11" w:name="definiciones"/>
    <w:p>
      <w:pPr>
        <w:pStyle w:val="Heading2"/>
      </w:pPr>
      <w:r>
        <w:t xml:space="preserve">3. DEFINICIONES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Homogeneidad:</w:t>
      </w:r>
      <w:r>
        <w:t xml:space="preserve"> </w:t>
      </w:r>
      <w:r>
        <w:t xml:space="preserve">Distribución uniforme de los componentes activos e inertes en toda la masa del lote.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Tiempo de Mezcla Efectivo:</w:t>
      </w:r>
      <w:r>
        <w:t xml:space="preserve"> </w:t>
      </w:r>
      <w:r>
        <w:t xml:space="preserve">Tiempo transcurrido desde la adición del último componente hasta el inicio de la descarga.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Segregación:</w:t>
      </w:r>
      <w:r>
        <w:t xml:space="preserve"> </w:t>
      </w:r>
      <w:r>
        <w:t xml:space="preserve">Separación indeseada de partículas por diferencia de tamaño o densidad después de la mezcla.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Coeficiente de Variación (CV):</w:t>
      </w:r>
      <w:r>
        <w:t xml:space="preserve"> </w:t>
      </w:r>
      <w:r>
        <w:t xml:space="preserve">Medida estadística de la dispersión de resultados analíticos entre sub-muestras del mismo lote.</w:t>
      </w:r>
    </w:p>
    <w:bookmarkEnd w:id="11"/>
    <w:bookmarkStart w:id="12" w:name="documentos-de-referencia"/>
    <w:p>
      <w:pPr>
        <w:pStyle w:val="Heading2"/>
      </w:pPr>
      <w:r>
        <w:t xml:space="preserve">4. DOCUMENTOS DE REFERENCIA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Resolución ICA pv0 (Propuesta):</w:t>
      </w:r>
      <w:r>
        <w:t xml:space="preserve"> </w:t>
      </w:r>
      <w:r>
        <w:t xml:space="preserve">Anexo I-B, Pilar 17</w:t>
      </w:r>
      <w:r>
        <w:t xml:space="preserve"> </w:t>
      </w:r>
      <w:r>
        <w:t xml:space="preserve">“Controles del Proceso de Producción”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Manual de Operación del Equipo Mezclador.</w:t>
      </w:r>
    </w:p>
    <w:bookmarkEnd w:id="12"/>
    <w:bookmarkStart w:id="13" w:name="X7d026e48587bff76c4ba88e8e147799b42f3a9f"/>
    <w:p>
      <w:pPr>
        <w:pStyle w:val="Heading2"/>
      </w:pPr>
      <w:r>
        <w:t xml:space="preserve">4.1. CONSIDERACIONES GMP (BUENAS PRÁCTICAS DE MANUFACTURA)</w:t>
      </w:r>
    </w:p>
    <w:p>
      <w:pPr>
        <w:pStyle w:val="FirstParagraph"/>
      </w:pPr>
      <w:r>
        <w:t xml:space="preserve">El orden de adición de materias primas</w:t>
      </w:r>
      <w:r>
        <w:t xml:space="preserve"> </w:t>
      </w:r>
      <w:r>
        <w:rPr>
          <w:b/>
          <w:bCs/>
        </w:rPr>
        <w:t xml:space="preserve">debe</w:t>
      </w:r>
      <w:r>
        <w:t xml:space="preserve"> </w:t>
      </w:r>
      <w:r>
        <w:t xml:space="preserve">respetarse estrictamente para evitar grumos o reacciones indeseadas.</w:t>
      </w:r>
      <w:r>
        <w:t xml:space="preserve"> </w:t>
      </w:r>
      <w:r>
        <w:rPr>
          <w:b/>
          <w:bCs/>
        </w:rPr>
        <w:t xml:space="preserve">Se prohíbe</w:t>
      </w:r>
      <w:r>
        <w:t xml:space="preserve"> </w:t>
      </w:r>
      <w:r>
        <w:t xml:space="preserve">adicionar componentes menores (micronutrientes) sin una pre-mezcla o vehículo que asegure su dispersión, a menos que el equipo cuente con sistema de inyección validado. La limpieza entre lotes de diferente fórmula es crítica y</w:t>
      </w:r>
      <w:r>
        <w:t xml:space="preserve"> </w:t>
      </w:r>
      <w:r>
        <w:rPr>
          <w:b/>
          <w:bCs/>
        </w:rPr>
        <w:t xml:space="preserve">debe</w:t>
      </w:r>
      <w:r>
        <w:t xml:space="preserve"> </w:t>
      </w:r>
      <w:r>
        <w:t xml:space="preserve">registrarse obligatoriamente.</w:t>
      </w:r>
    </w:p>
    <w:bookmarkEnd w:id="13"/>
    <w:bookmarkStart w:id="18" w:name="X89142c71e170216e29a3051bfe72221f0d57b2b"/>
    <w:p>
      <w:pPr>
        <w:pStyle w:val="Heading2"/>
      </w:pPr>
      <w:r>
        <w:t xml:space="preserve">5. RESPONSABILIDADES Y POLÍTICAS (Estilo Opus)</w:t>
      </w:r>
    </w:p>
    <w:bookmarkStart w:id="14" w:name="jefe-de-producción"/>
    <w:p>
      <w:pPr>
        <w:pStyle w:val="Heading3"/>
      </w:pPr>
      <w:r>
        <w:t xml:space="preserve">5.1. Jefe de Producción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Debe</w:t>
      </w:r>
      <w:r>
        <w:t xml:space="preserve"> </w:t>
      </w:r>
      <w:r>
        <w:t xml:space="preserve">definir los tiempos de mezcla óptimos para cada familia de productos (Anexo 1) basándose en validaciones previas.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 responsable</w:t>
      </w:r>
      <w:r>
        <w:t xml:space="preserve"> </w:t>
      </w:r>
      <w:r>
        <w:t xml:space="preserve">de asegurar que los equipos de mezcla tengan el mantenimiento preventivo al día (revisión de aspas/cintas).</w:t>
      </w:r>
    </w:p>
    <w:bookmarkEnd w:id="14"/>
    <w:bookmarkStart w:id="15" w:name="supervisor-de-producción"/>
    <w:p>
      <w:pPr>
        <w:pStyle w:val="Heading3"/>
      </w:pPr>
      <w:r>
        <w:t xml:space="preserve">5.2. Supervisor de Producción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Debe</w:t>
      </w:r>
      <w:r>
        <w:t xml:space="preserve"> </w:t>
      </w:r>
      <w:r>
        <w:t xml:space="preserve">verificar</w:t>
      </w:r>
      <w:r>
        <w:t xml:space="preserve"> </w:t>
      </w:r>
      <w:r>
        <w:t xml:space="preserve">“in situ”</w:t>
      </w:r>
      <w:r>
        <w:t xml:space="preserve"> </w:t>
      </w:r>
      <w:r>
        <w:t xml:space="preserve">la adición correcta de materias primas críticas (micronutrientes, acidulantes).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Tiene la autoridad</w:t>
      </w:r>
      <w:r>
        <w:t xml:space="preserve"> </w:t>
      </w:r>
      <w:r>
        <w:t xml:space="preserve">para rechazar una mezcla si observa segregación visual evidente o presencia de material extraño.</w:t>
      </w:r>
    </w:p>
    <w:bookmarkEnd w:id="15"/>
    <w:bookmarkStart w:id="16" w:name="operario-de-mezcla"/>
    <w:p>
      <w:pPr>
        <w:pStyle w:val="Heading3"/>
      </w:pPr>
      <w:r>
        <w:t xml:space="preserve">5.3. Operario de Mezcla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Debe</w:t>
      </w:r>
      <w:r>
        <w:t xml:space="preserve"> </w:t>
      </w:r>
      <w:r>
        <w:t xml:space="preserve">ejecutar la secuencia de carga y tiempos tal cual figura en la Orden de Producción.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 prohíbe</w:t>
      </w:r>
      <w:r>
        <w:t xml:space="preserve"> </w:t>
      </w:r>
      <w:r>
        <w:t xml:space="preserve">reducir los tiempos de mezcla para aumentar la velocidad de producción.</w:t>
      </w:r>
    </w:p>
    <w:bookmarkEnd w:id="16"/>
    <w:bookmarkStart w:id="17" w:name="control-de-calidad"/>
    <w:p>
      <w:pPr>
        <w:pStyle w:val="Heading3"/>
      </w:pPr>
      <w:r>
        <w:t xml:space="preserve">5.4. Control de Calidad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Debe</w:t>
      </w:r>
      <w:r>
        <w:t xml:space="preserve"> </w:t>
      </w:r>
      <w:r>
        <w:t xml:space="preserve">realizar el muestreo de uniformidad y emitir el dictamen de conformidad de la mezcla.</w:t>
      </w:r>
    </w:p>
    <w:bookmarkEnd w:id="17"/>
    <w:bookmarkEnd w:id="18"/>
    <w:bookmarkStart w:id="22" w:name="procedimiento-estilo-glm-4.7"/>
    <w:p>
      <w:pPr>
        <w:pStyle w:val="Heading2"/>
      </w:pPr>
      <w:r>
        <w:t xml:space="preserve">6. PROCEDIMIENTO (Estilo GLM-4.7)</w:t>
      </w:r>
    </w:p>
    <w:bookmarkStart w:id="19" w:name="preparación-del-equipo"/>
    <w:p>
      <w:pPr>
        <w:pStyle w:val="Heading3"/>
      </w:pPr>
      <w:r>
        <w:t xml:space="preserve">6.1. Preparación del Equipo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OPERARIO: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limpieza interna del mezclador y compuerta de descarga cerrada y asegurada.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SUPERVISOR:</w:t>
      </w:r>
      <w:r>
        <w:t xml:space="preserve"> </w:t>
      </w:r>
      <w:r>
        <w:rPr>
          <w:b/>
          <w:bCs/>
        </w:rPr>
        <w:t xml:space="preserve">Autorizar</w:t>
      </w:r>
      <w:r>
        <w:t xml:space="preserve"> </w:t>
      </w:r>
      <w:r>
        <w:t xml:space="preserve">la carga firmando el despeje de línea.</w:t>
      </w:r>
    </w:p>
    <w:bookmarkEnd w:id="19"/>
    <w:bookmarkStart w:id="20" w:name="secuencia-de-carga-y-mezcla"/>
    <w:p>
      <w:pPr>
        <w:pStyle w:val="Heading3"/>
      </w:pPr>
      <w:r>
        <w:t xml:space="preserve">6.2. Secuencia de Carga y Mezcla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OPERARIO:</w:t>
      </w:r>
      <w:r>
        <w:t xml:space="preserve"> </w:t>
      </w:r>
      <w:r>
        <w:rPr>
          <w:b/>
          <w:bCs/>
        </w:rPr>
        <w:t xml:space="preserve">Iniciar</w:t>
      </w:r>
      <w:r>
        <w:t xml:space="preserve"> </w:t>
      </w:r>
      <w:r>
        <w:t xml:space="preserve">el sistema de agitación (si aplica según diseño del equipo).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OPERARIO:</w:t>
      </w:r>
      <w:r>
        <w:t xml:space="preserve"> </w:t>
      </w:r>
      <w:r>
        <w:rPr>
          <w:b/>
          <w:bCs/>
        </w:rPr>
        <w:t xml:space="preserve">Cargar</w:t>
      </w:r>
      <w:r>
        <w:t xml:space="preserve"> </w:t>
      </w:r>
      <w:r>
        <w:t xml:space="preserve">los componentes mayores (Macro-elementos) según orden:</w:t>
      </w:r>
    </w:p>
    <w:p>
      <w:pPr>
        <w:pStyle w:val="Compact"/>
        <w:numPr>
          <w:ilvl w:val="1"/>
          <w:numId w:val="1009"/>
        </w:numPr>
      </w:pPr>
      <w:r>
        <w:t xml:space="preserve">1°: Material de mayor densidad o tamaño de partícula.</w:t>
      </w:r>
    </w:p>
    <w:p>
      <w:pPr>
        <w:pStyle w:val="Compact"/>
        <w:numPr>
          <w:ilvl w:val="1"/>
          <w:numId w:val="1009"/>
        </w:numPr>
      </w:pPr>
      <w:r>
        <w:t xml:space="preserve">2°: Material intermedio.</w:t>
      </w:r>
    </w:p>
    <w:p>
      <w:pPr>
        <w:pStyle w:val="Compact"/>
        <w:numPr>
          <w:ilvl w:val="1"/>
          <w:numId w:val="1009"/>
        </w:numPr>
      </w:pPr>
      <w:r>
        <w:t xml:space="preserve">3°: Material fino o de menor densidad.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OPERARIO:</w:t>
      </w:r>
      <w:r>
        <w:t xml:space="preserve"> </w:t>
      </w:r>
      <w:r>
        <w:rPr>
          <w:b/>
          <w:bCs/>
        </w:rPr>
        <w:t xml:space="preserve">Adicionar</w:t>
      </w:r>
      <w:r>
        <w:t xml:space="preserve"> </w:t>
      </w:r>
      <w:r>
        <w:t xml:space="preserve">los componentes menores (Micros) en el centro geométrico del mezclador o mediante tolva de aditivos.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OPERARIO:</w:t>
      </w:r>
      <w:r>
        <w:t xml:space="preserve"> </w:t>
      </w:r>
      <w:r>
        <w:rPr>
          <w:b/>
          <w:bCs/>
        </w:rPr>
        <w:t xml:space="preserve">Cronometrar</w:t>
      </w:r>
      <w:r>
        <w:t xml:space="preserve"> </w:t>
      </w:r>
      <w:r>
        <w:t xml:space="preserve">el Tiempo de Mezcla Efectivo desde el cierre de la tapa/compuerta.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Punto Crítico:</w:t>
      </w:r>
      <w:r>
        <w:t xml:space="preserve"> </w:t>
      </w:r>
      <w:r>
        <w:t xml:space="preserve">Respetar tiempo mínimo definido en Anexo 1 (ej: 5 - 15 minutos).</w:t>
      </w:r>
    </w:p>
    <w:bookmarkEnd w:id="20"/>
    <w:bookmarkStart w:id="21" w:name="descarga-y-control-de-homogeneidad"/>
    <w:p>
      <w:pPr>
        <w:pStyle w:val="Heading3"/>
      </w:pPr>
      <w:r>
        <w:t xml:space="preserve">6.3. Descarga y Control de Homogeneidad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OPERARIO:</w:t>
      </w:r>
      <w:r>
        <w:t xml:space="preserve"> </w:t>
      </w:r>
      <w:r>
        <w:rPr>
          <w:b/>
          <w:bCs/>
        </w:rPr>
        <w:t xml:space="preserve">Finalizar</w:t>
      </w:r>
      <w:r>
        <w:t xml:space="preserve"> </w:t>
      </w:r>
      <w:r>
        <w:t xml:space="preserve">el tiempo de mezcla y abrir compuerta de descarga.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OPERARIO:</w:t>
      </w:r>
      <w:r>
        <w:t xml:space="preserve"> </w:t>
      </w:r>
      <w:r>
        <w:rPr>
          <w:b/>
          <w:bCs/>
        </w:rPr>
        <w:t xml:space="preserve">Evitar</w:t>
      </w:r>
      <w:r>
        <w:t xml:space="preserve"> </w:t>
      </w:r>
      <w:r>
        <w:t xml:space="preserve">caída libre excesiva del producto para minimizar segregación.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CALIDAD:</w:t>
      </w:r>
      <w:r>
        <w:t xml:space="preserve"> </w:t>
      </w:r>
      <w:r>
        <w:rPr>
          <w:b/>
          <w:bCs/>
        </w:rPr>
        <w:t xml:space="preserve">Tomar</w:t>
      </w:r>
      <w:r>
        <w:t xml:space="preserve"> </w:t>
      </w:r>
      <w:r>
        <w:t xml:space="preserve">3 sub-muestras puntuales (Inicio, Medio, Fin de descarga) para verificación visual y química rápida.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Criterio:</w:t>
      </w:r>
      <w:r>
        <w:t xml:space="preserve"> </w:t>
      </w:r>
      <w:r>
        <w:t xml:space="preserve">Las 3 muestras deben ser visualmente indistinguibles en color y textura.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SI CUMPLE:</w:t>
      </w:r>
      <w:r>
        <w:t xml:space="preserve"> </w:t>
      </w:r>
      <w:r>
        <w:rPr>
          <w:b/>
          <w:bCs/>
        </w:rPr>
        <w:t xml:space="preserve">Liberar</w:t>
      </w:r>
      <w:r>
        <w:t xml:space="preserve"> </w:t>
      </w:r>
      <w:r>
        <w:t xml:space="preserve">el granel para la etapa de envasado (POE 3.10).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SI NO CUMPLE:</w:t>
      </w:r>
      <w:r>
        <w:t xml:space="preserve"> </w:t>
      </w:r>
      <w:r>
        <w:rPr>
          <w:b/>
          <w:bCs/>
        </w:rPr>
        <w:t xml:space="preserve">Retornar</w:t>
      </w:r>
      <w:r>
        <w:t xml:space="preserve"> </w:t>
      </w:r>
      <w:r>
        <w:t xml:space="preserve">el material al mezclador (si es posible) y re-mezclar por tiempo adicional (+50% del tiempo original).</w:t>
      </w:r>
      <w:r>
        <w:t xml:space="preserve"> </w:t>
      </w:r>
      <w:r>
        <w:rPr>
          <w:b/>
          <w:bCs/>
        </w:rPr>
        <w:t xml:space="preserve">Registrar</w:t>
      </w:r>
      <w:r>
        <w:t xml:space="preserve"> </w:t>
      </w:r>
      <w:r>
        <w:t xml:space="preserve">la desviación.</w:t>
      </w:r>
    </w:p>
    <w:bookmarkEnd w:id="21"/>
    <w:bookmarkEnd w:id="22"/>
    <w:bookmarkStart w:id="23" w:name="criterios-de-control-y-aceptación"/>
    <w:p>
      <w:pPr>
        <w:pStyle w:val="Heading2"/>
      </w:pPr>
      <w:r>
        <w:t xml:space="preserve">7. CRITERIOS DE CONTROL Y ACEPTACIÓN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 SI FALLA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Tiempo de Mezcla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 1 minuto del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Ajustar y registrar causa.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Aspecto Visual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Homogéneo, sin puntos de color distintos.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Re-mezclar inmediatamente.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Uniformidad Química (Si aplica)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 &lt; 10% entre sub-muestras (Micronutrientes).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Investigar proceso de mezcla. Bloquear lote.</w:t>
            </w:r>
          </w:p>
        </w:tc>
      </w:tr>
    </w:tbl>
    <w:bookmarkEnd w:id="23"/>
    <w:bookmarkStart w:id="24" w:name="registros-asociados"/>
    <w:p>
      <w:pPr>
        <w:pStyle w:val="Heading2"/>
      </w:pPr>
      <w:r>
        <w:t xml:space="preserve">8. REGISTROS ASOCIADOS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Formato_Control_Mezcla_Homogenizacion_V1.csv</w:t>
      </w:r>
      <w:r>
        <w:t xml:space="preserve">: Registro de tiempos y orden de carga.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Registro_Mezcla_Homogenizacion_V1.csv</w:t>
      </w:r>
      <w:r>
        <w:t xml:space="preserve">: Histórico de lotes mezclados.</w:t>
      </w:r>
    </w:p>
    <w:bookmarkEnd w:id="24"/>
    <w:bookmarkStart w:id="25" w:name="anexos"/>
    <w:p>
      <w:pPr>
        <w:pStyle w:val="Heading2"/>
      </w:pPr>
      <w:r>
        <w:t xml:space="preserve">9. ANEXOS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Anexo 1:</w:t>
      </w:r>
      <w:r>
        <w:t xml:space="preserve"> </w:t>
      </w:r>
      <w:r>
        <w:t xml:space="preserve">Tabla de Tiempos de Mezcla y Secuencias de Carga por Producto.</w:t>
      </w:r>
    </w:p>
    <w:bookmarkEnd w:id="25"/>
    <w:bookmarkStart w:id="26" w:name="control-de-cambios"/>
    <w:p>
      <w:pPr>
        <w:pStyle w:val="Heading2"/>
      </w:pPr>
      <w:r>
        <w:t xml:space="preserve">10. CONTROL DE CAMBIOS</w:t>
      </w:r>
    </w:p>
    <w:p>
      <w:pPr>
        <w:pStyle w:val="FirstParagraph"/>
      </w:pPr>
      <w:r>
        <w:t xml:space="preserve">VERSIÓN | FECHA | DESCRIPCIÓN DEL CAMBIO |</w:t>
      </w:r>
      <w:r>
        <w:br/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1"/>
  </w:num>
  <w:num w:numId="1010">
    <w:abstractNumId w:val="991"/>
  </w:num>
  <w:num w:numId="101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2026-02-18T10:33:50Z</dcterms:created>
  <dcterms:modified xsi:type="dcterms:W3CDTF">2026-02-18T10:33:50Z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