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f7e9a5b1bdfb8cb296777802a0f0e99c500998"/>
    <w:p>
      <w:pPr>
        <w:pStyle w:val="Heading1"/>
      </w:pPr>
      <w:r>
        <w:t xml:space="preserve">ACTA DE NO APLICABILIDAD: REACCIONES QUÍMICAS O BIOQUÍMICAS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CGC-ACTA-NA-3.07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de proceso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Dejar constancia formal y documentada de la</w:t>
      </w:r>
      <w:r>
        <w:t xml:space="preserve"> </w:t>
      </w:r>
      <w:r>
        <w:rPr>
          <w:b/>
          <w:bCs/>
        </w:rPr>
        <w:t xml:space="preserve">No Aplicabilidad</w:t>
      </w:r>
      <w:r>
        <w:t xml:space="preserve"> </w:t>
      </w:r>
      <w:r>
        <w:t xml:space="preserve">del requisito</w:t>
      </w:r>
      <w:r>
        <w:t xml:space="preserve"> </w:t>
      </w:r>
      <w:r>
        <w:t xml:space="preserve">“Reacciones Químicas o Bioquímicas”</w:t>
      </w:r>
      <w:r>
        <w:t xml:space="preserve"> </w:t>
      </w:r>
      <w:r>
        <w:t xml:space="preserve">(numeral 3.07 del Anexo I-B de pv0) para la operación actual de manufactura de</w:t>
      </w:r>
      <w:r>
        <w:t xml:space="preserve"> </w:t>
      </w:r>
      <w:r>
        <w:rPr>
          <w:b/>
          <w:bCs/>
        </w:rPr>
        <w:t xml:space="preserve">CALFERQUIM S.A.S.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documento exonera a la empresa de crear el POE 3.07 mientras no se implementen procesos de reacción química o bioquímica como parte del flujo productivo.</w:t>
      </w:r>
    </w:p>
    <w:bookmarkEnd w:id="10"/>
    <w:bookmarkStart w:id="11" w:name="fundamento-normativo"/>
    <w:p>
      <w:pPr>
        <w:pStyle w:val="Heading2"/>
      </w:pPr>
      <w:r>
        <w:t xml:space="preserve">3. FUNDAMENTO NORMATIVO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Numeral 3.07</w:t>
      </w:r>
      <w:r>
        <w:t xml:space="preserve"> </w:t>
      </w:r>
      <w:r>
        <w:t xml:space="preserve">“Reacciones Químicas o Bioquímicas”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150 de 2003:</w:t>
      </w:r>
      <w:r>
        <w:t xml:space="preserve"> </w:t>
      </w:r>
      <w:r>
        <w:t xml:space="preserve">Literal aplicable.</w:t>
      </w:r>
    </w:p>
    <w:bookmarkEnd w:id="11"/>
    <w:bookmarkStart w:id="12" w:name="X3922a4ecea0f240bdb369f28c5320b8ce92babc"/>
    <w:p>
      <w:pPr>
        <w:pStyle w:val="Heading2"/>
      </w:pPr>
      <w:r>
        <w:t xml:space="preserve">4. JUSTIFICACIÓN TÉCNICA DE NO APLICABILIDAD</w:t>
      </w:r>
    </w:p>
    <w:p>
      <w:pPr>
        <w:pStyle w:val="FirstParagraph"/>
      </w:pPr>
      <w:r>
        <w:t xml:space="preserve">La empresa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desarrolla un proceso productivo basado en</w:t>
      </w:r>
      <w:r>
        <w:t xml:space="preserve"> </w:t>
      </w:r>
      <w:r>
        <w:rPr>
          <w:b/>
          <w:bCs/>
        </w:rPr>
        <w:t xml:space="preserve">operaciones físicas</w:t>
      </w:r>
      <w:r>
        <w:t xml:space="preserve">, sin reacciones químicas controladas: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Dosificación:</w:t>
      </w:r>
      <w:r>
        <w:t xml:space="preserve"> </w:t>
      </w:r>
      <w:r>
        <w:t xml:space="preserve">Adición de materias primas según formulación.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Mezcla Física (Blending):</w:t>
      </w:r>
      <w:r>
        <w:t xml:space="preserve"> </w:t>
      </w:r>
      <w:r>
        <w:t xml:space="preserve">Homogeneización de componentes sólidos.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Granulación:</w:t>
      </w:r>
      <w:r>
        <w:t xml:space="preserve"> </w:t>
      </w:r>
      <w:r>
        <w:t xml:space="preserve">Compactación mecánica (sin reacción).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Envasado:</w:t>
      </w:r>
      <w:r>
        <w:t xml:space="preserve"> </w:t>
      </w:r>
      <w:r>
        <w:t xml:space="preserve">Embalaje del producto final.</w:t>
      </w:r>
    </w:p>
    <w:p>
      <w:pPr>
        <w:pStyle w:val="FirstParagraph"/>
      </w:pPr>
      <w:r>
        <w:rPr>
          <w:b/>
          <w:bCs/>
        </w:rPr>
        <w:t xml:space="preserve">NO SE EJECUTA</w:t>
      </w:r>
      <w:r>
        <w:t xml:space="preserve"> </w:t>
      </w:r>
      <w:r>
        <w:t xml:space="preserve">ningún proceso de síntesis química, neutralización ácida-base controlada, fermentación, o cualquier reacción bioquímica que genere un producto diferentes de sus precursores.</w:t>
      </w:r>
    </w:p>
    <w:bookmarkEnd w:id="12"/>
    <w:bookmarkStart w:id="13" w:name="evidencias-de-soporte"/>
    <w:p>
      <w:pPr>
        <w:pStyle w:val="Heading2"/>
      </w:pPr>
      <w:r>
        <w:t xml:space="preserve">5. EVIDENCIAS DE SOPORTE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Diagrama de Flujo de Proceso:</w:t>
      </w:r>
      <w:r>
        <w:t xml:space="preserve"> </w:t>
      </w:r>
      <w:r>
        <w:t xml:space="preserve">No incluye etapa reactiva.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Inventario de Equipos:</w:t>
      </w:r>
      <w:r>
        <w:t xml:space="preserve"> </w:t>
      </w:r>
      <w:r>
        <w:t xml:space="preserve">No registra reactores químicos ni biorreactores.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Fichas Técnicas de Producto:</w:t>
      </w:r>
      <w:r>
        <w:t xml:space="preserve"> </w:t>
      </w:r>
      <w:r>
        <w:t xml:space="preserve">Todos los productos son mezclas físicas.</w:t>
      </w:r>
    </w:p>
    <w:bookmarkEnd w:id="13"/>
    <w:bookmarkStart w:id="14" w:name="criterio-de-reactivación"/>
    <w:p>
      <w:pPr>
        <w:pStyle w:val="Heading2"/>
      </w:pPr>
      <w:r>
        <w:t xml:space="preserve">6. CRITERIO DE REACTIVACIÓN</w:t>
      </w:r>
    </w:p>
    <w:p>
      <w:pPr>
        <w:pStyle w:val="FirstParagraph"/>
      </w:pPr>
      <w:r>
        <w:rPr>
          <w:b/>
          <w:bCs/>
        </w:rPr>
        <w:t xml:space="preserve">SI</w:t>
      </w:r>
      <w:r>
        <w:t xml:space="preserve"> </w:t>
      </w:r>
      <w:r>
        <w:t xml:space="preserve">en el futuro la empresa implementa una etapa de reacción química o bioquímica:</w:t>
      </w:r>
      <w:r>
        <w:t xml:space="preserve"> </w:t>
      </w:r>
      <w:r>
        <w:t xml:space="preserve">1. Esta Acta pierde vigencia automáticamente.</w:t>
      </w:r>
      <w:r>
        <w:t xml:space="preserve"> </w:t>
      </w:r>
      <w:r>
        <w:t xml:space="preserve">2. Se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crear el</w:t>
      </w:r>
      <w:r>
        <w:t xml:space="preserve"> </w:t>
      </w:r>
      <w:r>
        <w:rPr>
          <w:rStyle w:val="VerbatimChar"/>
        </w:rPr>
        <w:t xml:space="preserve">POE_3.07_Reacciones_Quimicas_V1.md</w:t>
      </w:r>
      <w:r>
        <w:t xml:space="preserve"> </w:t>
      </w:r>
      <w:r>
        <w:t xml:space="preserve">con formatos y registros.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se permitirá</w:t>
      </w:r>
      <w:r>
        <w:t xml:space="preserve"> </w:t>
      </w:r>
      <w:r>
        <w:t xml:space="preserve">operar hasta que el POE esté aprobado y vigente.</w:t>
      </w:r>
    </w:p>
    <w:bookmarkEnd w:id="14"/>
    <w:bookmarkStart w:id="15" w:name="control-de-cambios"/>
    <w:p>
      <w:pPr>
        <w:pStyle w:val="Heading2"/>
      </w:pPr>
      <w:r>
        <w:t xml:space="preserve">7. CONTROL DE CAMBIOS</w:t>
      </w:r>
    </w:p>
    <w:p>
      <w:pPr>
        <w:pStyle w:val="FirstParagraph"/>
      </w:pPr>
      <w:r>
        <w:t xml:space="preserve">Versión | Fecha | Descripción |</w:t>
      </w:r>
      <w:r>
        <w:br/>
      </w:r>
      <w:r>
        <w:br/>
      </w:r>
    </w:p>
    <w:p>
      <w:pPr>
        <w:pStyle w:val="BodyText"/>
      </w:pPr>
      <w:r>
        <w:t xml:space="preserve">|:—|</w:t>
      </w:r>
      <w:r>
        <w:t xml:space="preserve"> </w:t>
      </w:r>
      <w:r>
        <w:t xml:space="preserve">| 01 | 2026-02-17 | Creación inicial del acta de no aplicabilidad. |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2026-02-18T10:33:50Z</dcterms:created>
  <dcterms:modified xsi:type="dcterms:W3CDTF">2026-02-18T10:33:50Z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