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f37648afd077e17d44a035b75480c90f3434c3d"/>
    <w:p>
      <w:pPr>
        <w:pStyle w:val="Heading1"/>
      </w:pPr>
      <w:r>
        <w:t xml:space="preserve">PROCEDIMIENTO OPERATIVO ESTANDARIZADO: ENVASE Y ROTULADO</w:t>
      </w:r>
    </w:p>
    <w:p>
      <w:pPr>
        <w:pStyle w:val="FirstParagraph"/>
      </w:pPr>
      <w:r>
        <w:t xml:space="preserve">CÓDIGO | VERSIÓN | VIGENCIA | PRÓXIMA REVISIÓN |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CGC-POE-3.10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2026-02-17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12 meses o ante cambio regulatorio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Estandarizar las operaciones de envasado, pesado, sellado y etiquetado para garantizar que cada unidad comercial cumpla con el contenido neto declarado y posea la información legal obligatoria (Registro ICA, Lote, Fecha Vencimiento) para su trazabilidad y venta.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Este procedimiento aplica a todas las presentaciones comerciales (Sacos, Bolsas, Frascos, Garrafas) de fertilizantes y acondicionadores fabricados o re-envasados en la planta de</w:t>
      </w:r>
      <w:r>
        <w:t xml:space="preserve"> </w:t>
      </w:r>
      <w:r>
        <w:rPr>
          <w:b/>
          <w:bCs/>
        </w:rPr>
        <w:t xml:space="preserve">CALFERQUIM S.A.S.</w:t>
      </w:r>
    </w:p>
    <w:bookmarkEnd w:id="10"/>
    <w:bookmarkStart w:id="11" w:name="definiciones"/>
    <w:p>
      <w:pPr>
        <w:pStyle w:val="Heading2"/>
      </w:pPr>
      <w:r>
        <w:t xml:space="preserve">3. DEFINICIONES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Envase Primario:</w:t>
      </w:r>
      <w:r>
        <w:t xml:space="preserve"> </w:t>
      </w:r>
      <w:r>
        <w:t xml:space="preserve">Recipiente que está en contacto directo con el producto.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Contenido Neto:</w:t>
      </w:r>
      <w:r>
        <w:t xml:space="preserve"> </w:t>
      </w:r>
      <w:r>
        <w:t xml:space="preserve">Cantidad de producto contenido en el envase, excluyendo la tara.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Lote:</w:t>
      </w:r>
      <w:r>
        <w:t xml:space="preserve"> </w:t>
      </w:r>
      <w:r>
        <w:t xml:space="preserve">Código único de identificación que permite trazar la historia de fabricación.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Etiqueta Aprobada:</w:t>
      </w:r>
      <w:r>
        <w:t xml:space="preserve"> </w:t>
      </w:r>
      <w:r>
        <w:t xml:space="preserve">Arte gráfico autorizado por el ICA en la Resolución de Registro del producto.</w:t>
      </w:r>
    </w:p>
    <w:bookmarkEnd w:id="11"/>
    <w:bookmarkStart w:id="12" w:name="documentos-de-referencia"/>
    <w:p>
      <w:pPr>
        <w:pStyle w:val="Heading2"/>
      </w:pPr>
      <w:r>
        <w:t xml:space="preserve">4. DOCUMENTOS DE REFERENCIA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ICA pv0 (Propuesta):</w:t>
      </w:r>
      <w:r>
        <w:t xml:space="preserve"> </w:t>
      </w:r>
      <w:r>
        <w:t xml:space="preserve">Anexo II-F</w:t>
      </w:r>
      <w:r>
        <w:t xml:space="preserve"> </w:t>
      </w:r>
      <w:r>
        <w:t xml:space="preserve">“Requisitos de Etiquetado”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NTC 1000:</w:t>
      </w:r>
      <w:r>
        <w:t xml:space="preserve"> </w:t>
      </w:r>
      <w:r>
        <w:t xml:space="preserve">Sistema Internacional de Unidades.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16379 de 2003:</w:t>
      </w:r>
      <w:r>
        <w:t xml:space="preserve"> </w:t>
      </w:r>
      <w:r>
        <w:t xml:space="preserve">Control metrológico del contenido neto.</w:t>
      </w:r>
    </w:p>
    <w:bookmarkEnd w:id="12"/>
    <w:bookmarkStart w:id="13" w:name="X7d026e48587bff76c4ba88e8e147799b42f3a9f"/>
    <w:p>
      <w:pPr>
        <w:pStyle w:val="Heading2"/>
      </w:pPr>
      <w:r>
        <w:t xml:space="preserve">4.1. CONSIDERACIONES GMP (BUENAS PRÁCTICAS DE MANUFACTURA)</w:t>
      </w:r>
    </w:p>
    <w:p>
      <w:pPr>
        <w:pStyle w:val="FirstParagraph"/>
      </w:pPr>
      <w:r>
        <w:t xml:space="preserve">Antes de iniciar el envasado,</w:t>
      </w:r>
      <w:r>
        <w:t xml:space="preserve"> </w:t>
      </w:r>
      <w:r>
        <w:rPr>
          <w:b/>
          <w:bCs/>
        </w:rPr>
        <w:t xml:space="preserve">se debe</w:t>
      </w:r>
      <w:r>
        <w:t xml:space="preserve"> </w:t>
      </w:r>
      <w:r>
        <w:t xml:space="preserve">realizar un despeje de línea riguroso para retirar cualquier etiqueta, envase o producto del lote anterior.</w:t>
      </w:r>
      <w:r>
        <w:t xml:space="preserve"> </w:t>
      </w:r>
      <w:r>
        <w:rPr>
          <w:b/>
          <w:bCs/>
        </w:rPr>
        <w:t xml:space="preserve">Se prohíbe</w:t>
      </w:r>
      <w:r>
        <w:t xml:space="preserve"> </w:t>
      </w:r>
      <w:r>
        <w:t xml:space="preserve">tener etiquetas de diferentes productos en la misma mesa de trabajo. Las balanzas utilizadas para el control de peso</w:t>
      </w:r>
      <w:r>
        <w:t xml:space="preserve"> </w:t>
      </w:r>
      <w:r>
        <w:rPr>
          <w:b/>
          <w:bCs/>
        </w:rPr>
        <w:t xml:space="preserve">deben</w:t>
      </w:r>
      <w:r>
        <w:t xml:space="preserve"> </w:t>
      </w:r>
      <w:r>
        <w:t xml:space="preserve">verificarse con pesas patrón al inicio de cada turno y registrarse.</w:t>
      </w:r>
    </w:p>
    <w:bookmarkEnd w:id="13"/>
    <w:bookmarkStart w:id="18" w:name="X89142c71e170216e29a3051bfe72221f0d57b2b"/>
    <w:p>
      <w:pPr>
        <w:pStyle w:val="Heading2"/>
      </w:pPr>
      <w:r>
        <w:t xml:space="preserve">5. RESPONSABILIDADES Y POLÍTICAS (Estilo Opus)</w:t>
      </w:r>
    </w:p>
    <w:bookmarkStart w:id="14" w:name="jefe-de-producción"/>
    <w:p>
      <w:pPr>
        <w:pStyle w:val="Heading3"/>
      </w:pPr>
      <w:r>
        <w:t xml:space="preserve">5.1. Jefe de Producción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asegurar la disponibilidad de los materiales de empaque correctos según la Orden de Producción.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responsable</w:t>
      </w:r>
      <w:r>
        <w:t xml:space="preserve"> </w:t>
      </w:r>
      <w:r>
        <w:t xml:space="preserve">de configurar las dosificadoras o balanzas para cumplir con el peso objetivo + sobrellenado de seguridad (si aplica).</w:t>
      </w:r>
    </w:p>
    <w:bookmarkEnd w:id="14"/>
    <w:bookmarkStart w:id="15" w:name="supervisor-de-línea"/>
    <w:p>
      <w:pPr>
        <w:pStyle w:val="Heading3"/>
      </w:pPr>
      <w:r>
        <w:t xml:space="preserve">5.2. Supervisor de Línea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verificar que el codificador (inkjet/sello) tenga la fecha y lote correctos antes de imprimir la primera unidad.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Tiene la autoridad</w:t>
      </w:r>
      <w:r>
        <w:t xml:space="preserve"> </w:t>
      </w:r>
      <w:r>
        <w:t xml:space="preserve">para detener la línea si detecta fallas en el sellado o peso fuera de tolerancia.</w:t>
      </w:r>
    </w:p>
    <w:bookmarkEnd w:id="15"/>
    <w:bookmarkStart w:id="16" w:name="operario-de-envase"/>
    <w:p>
      <w:pPr>
        <w:pStyle w:val="Heading3"/>
      </w:pPr>
      <w:r>
        <w:t xml:space="preserve">5.3. Operario de Envase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inspeccionar visualmente cada envase vacío para asegurar que esté limpio y sin defectos.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 prohíbe</w:t>
      </w:r>
      <w:r>
        <w:t xml:space="preserve"> </w:t>
      </w:r>
      <w:r>
        <w:t xml:space="preserve">liberar unidades con peso inferior a la tolerancia mínima legal.</w:t>
      </w:r>
    </w:p>
    <w:bookmarkEnd w:id="16"/>
    <w:bookmarkStart w:id="17" w:name="control-de-calidad"/>
    <w:p>
      <w:pPr>
        <w:pStyle w:val="Heading3"/>
      </w:pPr>
      <w:r>
        <w:t xml:space="preserve">5.4. Control de Calidad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cotejar la etiqueta física contra el</w:t>
      </w:r>
      <w:r>
        <w:t xml:space="preserve"> </w:t>
      </w:r>
      <w:r>
        <w:t xml:space="preserve">“Arte Aprobado ICA”</w:t>
      </w:r>
      <w:r>
        <w:t xml:space="preserve"> </w:t>
      </w:r>
      <w:r>
        <w:t xml:space="preserve">vigente para el producto.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realizar muestreo destructivo de sellado y peso estadístico durante el lote.</w:t>
      </w:r>
    </w:p>
    <w:bookmarkEnd w:id="17"/>
    <w:bookmarkEnd w:id="18"/>
    <w:bookmarkStart w:id="23" w:name="procedimiento-estilo-glm-4.7"/>
    <w:p>
      <w:pPr>
        <w:pStyle w:val="Heading2"/>
      </w:pPr>
      <w:r>
        <w:t xml:space="preserve">6. PROCEDIMIENTO (Estilo GLM-4.7)</w:t>
      </w:r>
    </w:p>
    <w:bookmarkStart w:id="19" w:name="alistamiento-de-línea"/>
    <w:p>
      <w:pPr>
        <w:pStyle w:val="Heading3"/>
      </w:pPr>
      <w:r>
        <w:t xml:space="preserve">6.1. Alistamiento de Línea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SUPERVISOR: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orden de producción y solicitar materiales de empaque al almacén.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Liberar</w:t>
      </w:r>
      <w:r>
        <w:t xml:space="preserve"> </w:t>
      </w:r>
      <w:r>
        <w:t xml:space="preserve">la línea tras verificar limpieza (Despeje de Línea) y ausencia de materiales ajenos.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Entregar</w:t>
      </w:r>
      <w:r>
        <w:t xml:space="preserve"> </w:t>
      </w:r>
      <w:r>
        <w:t xml:space="preserve">al Supervisor el</w:t>
      </w:r>
      <w:r>
        <w:t xml:space="preserve"> </w:t>
      </w:r>
      <w:r>
        <w:t xml:space="preserve">“Patrón de Etiqueta”</w:t>
      </w:r>
      <w:r>
        <w:t xml:space="preserve"> </w:t>
      </w:r>
      <w:r>
        <w:t xml:space="preserve">aprobado para ese lote.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Punto Crítico:</w:t>
      </w:r>
      <w:r>
        <w:t xml:space="preserve"> </w:t>
      </w:r>
      <w:r>
        <w:t xml:space="preserve">Verificar Textos Legales, Registro ICA, Composición Garantizada.</w:t>
      </w:r>
    </w:p>
    <w:bookmarkEnd w:id="19"/>
    <w:bookmarkStart w:id="20" w:name="configuración-de-codificación"/>
    <w:p>
      <w:pPr>
        <w:pStyle w:val="Heading3"/>
      </w:pPr>
      <w:r>
        <w:t xml:space="preserve">6.2. Configuración de Codificación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Ajustar</w:t>
      </w:r>
      <w:r>
        <w:t xml:space="preserve"> </w:t>
      </w:r>
      <w:r>
        <w:t xml:space="preserve">el codificador con:</w:t>
      </w:r>
    </w:p>
    <w:p>
      <w:pPr>
        <w:pStyle w:val="Compact"/>
        <w:numPr>
          <w:ilvl w:val="1"/>
          <w:numId w:val="1010"/>
        </w:numPr>
      </w:pPr>
      <w:r>
        <w:t xml:space="preserve">Lote: [Según Orden]</w:t>
      </w:r>
    </w:p>
    <w:p>
      <w:pPr>
        <w:pStyle w:val="Compact"/>
        <w:numPr>
          <w:ilvl w:val="1"/>
          <w:numId w:val="1010"/>
        </w:numPr>
      </w:pPr>
      <w:r>
        <w:t xml:space="preserve">Fecha Fab: [Hoy]</w:t>
      </w:r>
    </w:p>
    <w:p>
      <w:pPr>
        <w:pStyle w:val="Compact"/>
        <w:numPr>
          <w:ilvl w:val="1"/>
          <w:numId w:val="1010"/>
        </w:numPr>
      </w:pPr>
      <w:r>
        <w:t xml:space="preserve">Fecha Venc: [Según vida útil, ej: 2 años]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SUPERVISOR:</w:t>
      </w:r>
      <w:r>
        <w:t xml:space="preserve"> </w:t>
      </w:r>
      <w:r>
        <w:rPr>
          <w:b/>
          <w:bCs/>
        </w:rPr>
        <w:t xml:space="preserve">Imprimir</w:t>
      </w:r>
      <w:r>
        <w:t xml:space="preserve"> </w:t>
      </w:r>
      <w:r>
        <w:t xml:space="preserve">una prueba y verificar legibilidad.</w:t>
      </w:r>
      <w:r>
        <w:t xml:space="preserve"> </w:t>
      </w:r>
      <w:r>
        <w:rPr>
          <w:b/>
          <w:bCs/>
        </w:rPr>
        <w:t xml:space="preserve">Firmar</w:t>
      </w:r>
      <w:r>
        <w:t xml:space="preserve"> </w:t>
      </w:r>
      <w:r>
        <w:t xml:space="preserve">el visto bueno en el registro.</w:t>
      </w:r>
    </w:p>
    <w:bookmarkEnd w:id="20"/>
    <w:bookmarkStart w:id="21" w:name="operación-de-llenado-y-pesado"/>
    <w:p>
      <w:pPr>
        <w:pStyle w:val="Heading3"/>
      </w:pPr>
      <w:r>
        <w:t xml:space="preserve">6.3. Operación de Llenado y Pesado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Iniciar</w:t>
      </w:r>
      <w:r>
        <w:t xml:space="preserve"> </w:t>
      </w:r>
      <w:r>
        <w:t xml:space="preserve">el llenado de envases.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el peso del 100% de las unidades (si es manual) o por muestreo frecuente (si es automático).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Tolerancia:</w:t>
      </w:r>
      <w:r>
        <w:t xml:space="preserve"> </w:t>
      </w:r>
      <w:r>
        <w:t xml:space="preserve">El peso promedio debe ser ≥ Contenido Neto Declarado. Ninguna unidad puede estar por debajo de la Tolerancia Mínima (T2).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Cerrar/Sellar</w:t>
      </w:r>
      <w:r>
        <w:t xml:space="preserve"> </w:t>
      </w:r>
      <w:r>
        <w:t xml:space="preserve">el envase inmediatamente para evitar contaminación o derrames.</w:t>
      </w:r>
    </w:p>
    <w:bookmarkEnd w:id="21"/>
    <w:bookmarkStart w:id="22" w:name="etiquetado-y-embalaje-final"/>
    <w:p>
      <w:pPr>
        <w:pStyle w:val="Heading3"/>
      </w:pPr>
      <w:r>
        <w:t xml:space="preserve">6.4. Etiquetado y Embalaje Final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Adherir</w:t>
      </w:r>
      <w:r>
        <w:t xml:space="preserve"> </w:t>
      </w:r>
      <w:r>
        <w:t xml:space="preserve">la etiqueta o verificar la impresión en el saco.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Control:</w:t>
      </w:r>
      <w:r>
        <w:t xml:space="preserve"> </w:t>
      </w:r>
      <w:r>
        <w:t xml:space="preserve">La etiqueta no debe estar torcida, arrugada o ilegible.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OPERARIO:</w:t>
      </w:r>
      <w:r>
        <w:t xml:space="preserve"> </w:t>
      </w:r>
      <w:r>
        <w:rPr>
          <w:b/>
          <w:bCs/>
        </w:rPr>
        <w:t xml:space="preserve">Paletizar</w:t>
      </w:r>
      <w:r>
        <w:t xml:space="preserve"> </w:t>
      </w:r>
      <w:r>
        <w:t xml:space="preserve">el producto terminado e identificar la estiba con la tarjeta de</w:t>
      </w:r>
      <w:r>
        <w:t xml:space="preserve"> </w:t>
      </w:r>
      <w:r>
        <w:t xml:space="preserve">“CUARENTENA”</w:t>
      </w:r>
      <w:r>
        <w:t xml:space="preserve"> </w:t>
      </w:r>
      <w:r>
        <w:t xml:space="preserve">(Color Amarillo).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PRODUCCIÓN:</w:t>
      </w:r>
      <w:r>
        <w:t xml:space="preserve"> </w:t>
      </w:r>
      <w:r>
        <w:rPr>
          <w:b/>
          <w:bCs/>
        </w:rPr>
        <w:t xml:space="preserve">Notificar</w:t>
      </w:r>
      <w:r>
        <w:t xml:space="preserve"> </w:t>
      </w:r>
      <w:r>
        <w:t xml:space="preserve">fin de lote a Calidad para inicio del proceso de Liberación (POE 3.12).</w:t>
      </w:r>
    </w:p>
    <w:bookmarkEnd w:id="22"/>
    <w:bookmarkEnd w:id="23"/>
    <w:bookmarkStart w:id="24" w:name="criterios-de-control-y-aceptación"/>
    <w:p>
      <w:pPr>
        <w:pStyle w:val="Heading2"/>
      </w:pPr>
      <w:r>
        <w:t xml:space="preserve">7. CRITERIOS DE CONTROL Y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SI FALLA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Peso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1% del Contenido Neto.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dosificadora. Re-pesar lote al 100%.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Legibilidad Lote/Venc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legible y adherido.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Borrar y re-imprimir. Rechazar envase.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Hermeticidad Sello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fugas al invertir el envase.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Re-sellar. Cambiar envase.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Texto Etiqueta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 100% con Arte Aprobado ICA.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DETENER LÍNEA.</w:t>
            </w:r>
            <w:r>
              <w:t xml:space="preserve"> </w:t>
            </w:r>
            <w:r>
              <w:t xml:space="preserve">Segregar todo el lote. Incidente Crítico.</w:t>
            </w:r>
          </w:p>
        </w:tc>
      </w:tr>
    </w:tbl>
    <w:bookmarkEnd w:id="24"/>
    <w:bookmarkStart w:id="25" w:name="registros-asociados"/>
    <w:p>
      <w:pPr>
        <w:pStyle w:val="Heading2"/>
      </w:pPr>
      <w:r>
        <w:t xml:space="preserve">8. REGISTROS ASOCIADOS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Formato_Control_Envase_V1.csv</w:t>
      </w:r>
      <w:r>
        <w:t xml:space="preserve">: Registro de pesos y verificación de etiquetas.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Registro_Envase_V1.csv</w:t>
      </w:r>
      <w:r>
        <w:t xml:space="preserve">: Consolidado de unidades producidas por turno.</w:t>
      </w:r>
    </w:p>
    <w:bookmarkEnd w:id="25"/>
    <w:bookmarkStart w:id="26" w:name="anexos"/>
    <w:p>
      <w:pPr>
        <w:pStyle w:val="Heading2"/>
      </w:pPr>
      <w:r>
        <w:t xml:space="preserve">9. ANEXOS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Anexo 1:</w:t>
      </w:r>
      <w:r>
        <w:t xml:space="preserve"> </w:t>
      </w:r>
      <w:r>
        <w:t xml:space="preserve">Tabla de Tolerancias de Peso por Presentación (Sacos 50kg, 25kg, 1kg, etc.).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Anexo 2:</w:t>
      </w:r>
      <w:r>
        <w:t xml:space="preserve"> </w:t>
      </w:r>
      <w:r>
        <w:t xml:space="preserve">Catálogo de Defectos Críticos de Envase.</w:t>
      </w:r>
    </w:p>
    <w:bookmarkEnd w:id="26"/>
    <w:bookmarkStart w:id="27" w:name="control-de-cambios"/>
    <w:p>
      <w:pPr>
        <w:pStyle w:val="Heading2"/>
      </w:pPr>
      <w:r>
        <w:t xml:space="preserve">10. CONTROL DE CAMBIOS</w:t>
      </w:r>
    </w:p>
    <w:p>
      <w:pPr>
        <w:pStyle w:val="FirstParagraph"/>
      </w:pPr>
      <w:r>
        <w:t xml:space="preserve">VERSIÓN | FECHA | DESCRIPCIÓN DEL CAMBIO |</w:t>
      </w:r>
      <w:r>
        <w:br/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2026-02-18T10:33:50Z</dcterms:created>
  <dcterms:modified xsi:type="dcterms:W3CDTF">2026-02-18T10:33:50Z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