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75c79100b40eb90968745e9d38044ef0e93d6c"/>
    <w:p>
      <w:pPr>
        <w:pStyle w:val="Heading1"/>
      </w:pPr>
      <w:r>
        <w:t xml:space="preserve">ANX 3.11-01 - ESTRUCTURA OFICIAL DEL CODIGO DE LOTE</w:t>
      </w:r>
    </w:p>
    <w:p>
      <w:pPr>
        <w:pStyle w:val="FirstParagraph"/>
      </w:pPr>
      <w:r>
        <w:t xml:space="preserve">Formato base recomendado:</w:t>
      </w:r>
    </w:p>
    <w:p>
      <w:pPr>
        <w:pStyle w:val="BodyText"/>
      </w:pPr>
      <w:r>
        <w:rPr>
          <w:rStyle w:val="VerbatimChar"/>
        </w:rPr>
        <w:t xml:space="preserve">AAAAMMDD-PROD-SERIE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rPr>
          <w:rStyle w:val="VerbatimChar"/>
        </w:rPr>
        <w:t xml:space="preserve">20260218-SULFAK50-01</w:t>
      </w:r>
    </w:p>
    <w:p>
      <w:pPr>
        <w:pStyle w:val="BodyText"/>
      </w:pPr>
      <w:r>
        <w:t xml:space="preserve">Reglas:</w:t>
      </w:r>
    </w:p>
    <w:p>
      <w:pPr>
        <w:pStyle w:val="Compact"/>
        <w:numPr>
          <w:ilvl w:val="0"/>
          <w:numId w:val="1001"/>
        </w:numPr>
      </w:pPr>
      <w:r>
        <w:t xml:space="preserve">AAAAMMDD: fecha de fabricacion.</w:t>
      </w:r>
    </w:p>
    <w:p>
      <w:pPr>
        <w:pStyle w:val="Compact"/>
        <w:numPr>
          <w:ilvl w:val="0"/>
          <w:numId w:val="1001"/>
        </w:numPr>
      </w:pPr>
      <w:r>
        <w:t xml:space="preserve">PROD: abreviatura unica del producto.</w:t>
      </w:r>
    </w:p>
    <w:p>
      <w:pPr>
        <w:pStyle w:val="Compact"/>
        <w:numPr>
          <w:ilvl w:val="0"/>
          <w:numId w:val="1001"/>
        </w:numPr>
      </w:pPr>
      <w:r>
        <w:t xml:space="preserve">SERIE: consecutivo diario de 2 digitos.</w:t>
      </w:r>
    </w:p>
    <w:p>
      <w:pPr>
        <w:pStyle w:val="Compact"/>
        <w:numPr>
          <w:ilvl w:val="0"/>
          <w:numId w:val="1001"/>
        </w:numPr>
      </w:pPr>
      <w:r>
        <w:t xml:space="preserve">No se permite reutilizar el mismo codigo.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