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X36ce16e358b5834bb98ce50bf488976a90222a5"/>
    <w:p>
      <w:pPr>
        <w:pStyle w:val="Heading1"/>
      </w:pPr>
      <w:r>
        <w:t xml:space="preserve">PROCEDIMIENTO OPERATIVO ESTANDARIZADO: CODIFICACION DE LOTES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CODIGO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VIGENCIA</w:t>
            </w:r>
          </w:p>
        </w:tc>
        <w:tc>
          <w:tcPr/>
          <w:p>
            <w:pPr>
              <w:pStyle w:val="Compact"/>
            </w:pPr>
            <w:r>
              <w:t xml:space="preserve">PROXIMA REVISION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POE-3.11</w:t>
            </w:r>
          </w:p>
        </w:tc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2026-02-18</w:t>
            </w:r>
          </w:p>
        </w:tc>
        <w:tc>
          <w:tcPr/>
          <w:p>
            <w:pPr>
              <w:pStyle w:val="Compact"/>
            </w:pPr>
            <w:r>
              <w:t xml:space="preserve">12 meses o ante cambio regulatorio</w:t>
            </w:r>
          </w:p>
        </w:tc>
      </w:tr>
    </w:tbl>
    <w:bookmarkStart w:id="9" w:name="objetivo"/>
    <w:p>
      <w:pPr>
        <w:pStyle w:val="Heading2"/>
      </w:pPr>
      <w:r>
        <w:t xml:space="preserve">1. OBJETIVO</w:t>
      </w:r>
    </w:p>
    <w:p>
      <w:pPr>
        <w:pStyle w:val="FirstParagraph"/>
      </w:pPr>
      <w:r>
        <w:t xml:space="preserve">Estandarizar la asignacion y control del codigo de lote para asegurar trazabilidad desde produccion hasta cliente final.</w:t>
      </w:r>
    </w:p>
    <w:bookmarkEnd w:id="9"/>
    <w:bookmarkStart w:id="10" w:name="alcance"/>
    <w:p>
      <w:pPr>
        <w:pStyle w:val="Heading2"/>
      </w:pPr>
      <w:r>
        <w:t xml:space="preserve">2. ALCANCE</w:t>
      </w:r>
    </w:p>
    <w:p>
      <w:pPr>
        <w:pStyle w:val="FirstParagraph"/>
      </w:pPr>
      <w:r>
        <w:t xml:space="preserve">Aplica a lotes de producto terminado, lotes en reproceso autorizados y lotes fabricados para terceros.</w:t>
      </w:r>
    </w:p>
    <w:bookmarkEnd w:id="10"/>
    <w:bookmarkStart w:id="11" w:name="definiciones"/>
    <w:p>
      <w:pPr>
        <w:pStyle w:val="Heading2"/>
      </w:pPr>
      <w:r>
        <w:t xml:space="preserve">3. DEFINICIONES</w:t>
      </w:r>
    </w:p>
    <w:p>
      <w:pPr>
        <w:pStyle w:val="Compact"/>
        <w:numPr>
          <w:ilvl w:val="0"/>
          <w:numId w:val="1001"/>
        </w:numPr>
      </w:pPr>
      <w:r>
        <w:t xml:space="preserve">Codigo de lote: Identificador unico de fabricacion.</w:t>
      </w:r>
    </w:p>
    <w:p>
      <w:pPr>
        <w:pStyle w:val="Compact"/>
        <w:numPr>
          <w:ilvl w:val="0"/>
          <w:numId w:val="1001"/>
        </w:numPr>
      </w:pPr>
      <w:r>
        <w:t xml:space="preserve">Reproceso: Reingreso controlado de producto bajo aprobacion de Calidad.</w:t>
      </w:r>
    </w:p>
    <w:p>
      <w:pPr>
        <w:pStyle w:val="Compact"/>
        <w:numPr>
          <w:ilvl w:val="0"/>
          <w:numId w:val="1001"/>
        </w:numPr>
      </w:pPr>
      <w:r>
        <w:t xml:space="preserve">Serie diaria: Secuencia numerica del dia.</w:t>
      </w:r>
    </w:p>
    <w:bookmarkEnd w:id="11"/>
    <w:bookmarkStart w:id="12" w:name="documentos-de-referencia"/>
    <w:p>
      <w:pPr>
        <w:pStyle w:val="Heading2"/>
      </w:pPr>
      <w:r>
        <w:t xml:space="preserve">4. DOCUMENTOS DE REFERENCIA</w:t>
      </w:r>
    </w:p>
    <w:p>
      <w:pPr>
        <w:pStyle w:val="Compact"/>
        <w:numPr>
          <w:ilvl w:val="0"/>
          <w:numId w:val="1002"/>
        </w:numPr>
      </w:pPr>
      <w:r>
        <w:t xml:space="preserve">DC-SI12 Asignacion de Lotes, Muestreo y Control de Calidad.</w:t>
      </w:r>
    </w:p>
    <w:p>
      <w:pPr>
        <w:pStyle w:val="Compact"/>
        <w:numPr>
          <w:ilvl w:val="0"/>
          <w:numId w:val="1002"/>
        </w:numPr>
      </w:pPr>
      <w:r>
        <w:t xml:space="preserve">POE 3.12 Liberacion de Lotes.</w:t>
      </w:r>
    </w:p>
    <w:p>
      <w:pPr>
        <w:pStyle w:val="Compact"/>
        <w:numPr>
          <w:ilvl w:val="0"/>
          <w:numId w:val="1002"/>
        </w:numPr>
      </w:pPr>
      <w:r>
        <w:t xml:space="preserve">Anexo 2: Lista maestra de abreviaturas de producto.</w:t>
      </w:r>
    </w:p>
    <w:bookmarkEnd w:id="12"/>
    <w:bookmarkStart w:id="13" w:name="responsabilidades-y-politicas"/>
    <w:p>
      <w:pPr>
        <w:pStyle w:val="Heading2"/>
      </w:pPr>
      <w:r>
        <w:t xml:space="preserve">5. RESPONSABILIDADES Y POLITICAS</w:t>
      </w:r>
    </w:p>
    <w:p>
      <w:pPr>
        <w:pStyle w:val="Compact"/>
        <w:numPr>
          <w:ilvl w:val="0"/>
          <w:numId w:val="1003"/>
        </w:numPr>
      </w:pPr>
      <w:r>
        <w:t xml:space="preserve">Produccion debe solicitar codigo antes de iniciar lote.</w:t>
      </w:r>
    </w:p>
    <w:p>
      <w:pPr>
        <w:pStyle w:val="Compact"/>
        <w:numPr>
          <w:ilvl w:val="0"/>
          <w:numId w:val="1003"/>
        </w:numPr>
      </w:pPr>
      <w:r>
        <w:t xml:space="preserve">Calidad debe validar estructura y no duplicidad del codigo.</w:t>
      </w:r>
    </w:p>
    <w:p>
      <w:pPr>
        <w:pStyle w:val="Compact"/>
        <w:numPr>
          <w:ilvl w:val="0"/>
          <w:numId w:val="1003"/>
        </w:numPr>
      </w:pPr>
      <w:r>
        <w:t xml:space="preserve">Se prohibe imprimir etiquetas con lote no aprobado.</w:t>
      </w:r>
    </w:p>
    <w:p>
      <w:pPr>
        <w:pStyle w:val="Compact"/>
        <w:numPr>
          <w:ilvl w:val="0"/>
          <w:numId w:val="1003"/>
        </w:numPr>
      </w:pPr>
      <w:r>
        <w:t xml:space="preserve">Todo cambio de lote debe quedar trazado y firmado.</w:t>
      </w:r>
    </w:p>
    <w:bookmarkEnd w:id="13"/>
    <w:bookmarkStart w:id="14" w:name="procedimiento"/>
    <w:p>
      <w:pPr>
        <w:pStyle w:val="Heading2"/>
      </w:pPr>
      <w:r>
        <w:t xml:space="preserve">6. PROCEDIMIENTO</w:t>
      </w:r>
    </w:p>
    <w:p>
      <w:pPr>
        <w:pStyle w:val="Compact"/>
        <w:numPr>
          <w:ilvl w:val="0"/>
          <w:numId w:val="1004"/>
        </w:numPr>
      </w:pPr>
      <w:r>
        <w:t xml:space="preserve">Produccion solicita asignacion en</w:t>
      </w:r>
      <w:r>
        <w:t xml:space="preserve"> </w:t>
      </w:r>
      <w:r>
        <w:rPr>
          <w:rStyle w:val="VerbatimChar"/>
        </w:rPr>
        <w:t xml:space="preserve">Formato_Asignacion_Lotes_V1.csv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Calidad genera codigo segun estructura definida en anexo 1 y abreviatura aprobada en anexo 2.</w:t>
      </w:r>
    </w:p>
    <w:p>
      <w:pPr>
        <w:pStyle w:val="Compact"/>
        <w:numPr>
          <w:ilvl w:val="0"/>
          <w:numId w:val="1004"/>
        </w:numPr>
      </w:pPr>
      <w:r>
        <w:t xml:space="preserve">Calidad verifica que no exista lote repetido en el periodo vigente.</w:t>
      </w:r>
    </w:p>
    <w:p>
      <w:pPr>
        <w:pStyle w:val="Compact"/>
        <w:numPr>
          <w:ilvl w:val="0"/>
          <w:numId w:val="1004"/>
        </w:numPr>
      </w:pPr>
      <w:r>
        <w:t xml:space="preserve">Produccion registra codigo en orden de produccion y etiquetas.</w:t>
      </w:r>
    </w:p>
    <w:p>
      <w:pPr>
        <w:pStyle w:val="Compact"/>
        <w:numPr>
          <w:ilvl w:val="0"/>
          <w:numId w:val="1004"/>
        </w:numPr>
      </w:pPr>
      <w:r>
        <w:t xml:space="preserve">Calidad confirma consistencia entre orden, etiqueta y registro.</w:t>
      </w:r>
    </w:p>
    <w:p>
      <w:pPr>
        <w:pStyle w:val="Compact"/>
        <w:numPr>
          <w:ilvl w:val="0"/>
          <w:numId w:val="1004"/>
        </w:numPr>
      </w:pPr>
      <w:r>
        <w:t xml:space="preserve">Bodega usa el codigo para trazabilidad de almacenamiento y despacho.</w:t>
      </w:r>
    </w:p>
    <w:p>
      <w:pPr>
        <w:pStyle w:val="Compact"/>
        <w:numPr>
          <w:ilvl w:val="0"/>
          <w:numId w:val="1004"/>
        </w:numPr>
      </w:pPr>
      <w:r>
        <w:t xml:space="preserve">Calidad consolida historial en</w:t>
      </w:r>
      <w:r>
        <w:t xml:space="preserve"> </w:t>
      </w:r>
      <w:r>
        <w:rPr>
          <w:rStyle w:val="VerbatimChar"/>
        </w:rPr>
        <w:t xml:space="preserve">Registro_Codificacion_Lotes_V1.csv</w:t>
      </w:r>
      <w:r>
        <w:t xml:space="preserve">.</w:t>
      </w:r>
    </w:p>
    <w:bookmarkEnd w:id="14"/>
    <w:bookmarkStart w:id="15" w:name="criterios-de-control-y-aceptacion"/>
    <w:p>
      <w:pPr>
        <w:pStyle w:val="Heading2"/>
      </w:pPr>
      <w:r>
        <w:t xml:space="preserve">7. CRITERIOS DE CONTROL Y ACEPTACION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PARAMETRO</w:t>
            </w:r>
          </w:p>
        </w:tc>
        <w:tc>
          <w:tcPr/>
          <w:p>
            <w:pPr>
              <w:pStyle w:val="Compact"/>
            </w:pPr>
            <w:r>
              <w:t xml:space="preserve">CRITERIO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Unicidad</w:t>
            </w:r>
          </w:p>
        </w:tc>
        <w:tc>
          <w:tcPr/>
          <w:p>
            <w:pPr>
              <w:pStyle w:val="Compact"/>
            </w:pPr>
            <w:r>
              <w:t xml:space="preserve">Sin codigos duplicados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Estructura</w:t>
            </w:r>
          </w:p>
        </w:tc>
        <w:tc>
          <w:tcPr/>
          <w:p>
            <w:pPr>
              <w:pStyle w:val="Compact"/>
            </w:pPr>
            <w:r>
              <w:t xml:space="preserve">Cumple formato AAAAMMDD-PROD-SERIE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Abreviatura</w:t>
            </w:r>
          </w:p>
        </w:tc>
        <w:tc>
          <w:tcPr/>
          <w:p>
            <w:pPr>
              <w:pStyle w:val="Compact"/>
            </w:pPr>
            <w:r>
              <w:t xml:space="preserve">Debe existir y estar vigente en lista maestra controlada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Consistencia documental</w:t>
            </w:r>
          </w:p>
        </w:tc>
        <w:tc>
          <w:tcPr/>
          <w:p>
            <w:pPr>
              <w:pStyle w:val="Compact"/>
            </w:pPr>
            <w:r>
              <w:t xml:space="preserve">Mismo lote en OP, etiqueta y registro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Trazabilidad</w:t>
            </w:r>
          </w:p>
        </w:tc>
        <w:tc>
          <w:tcPr/>
          <w:p>
            <w:pPr>
              <w:pStyle w:val="Compact"/>
            </w:pPr>
            <w:r>
              <w:t xml:space="preserve">Lote vinculable a materia prima y cliente</w:t>
            </w:r>
          </w:p>
        </w:tc>
      </w:tr>
    </w:tbl>
    <w:bookmarkEnd w:id="15"/>
    <w:bookmarkStart w:id="16" w:name="registros-asociados"/>
    <w:p>
      <w:pPr>
        <w:pStyle w:val="Heading2"/>
      </w:pPr>
      <w:r>
        <w:t xml:space="preserve">8. REGISTROS ASOCIADOS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Formato_Asignacion_Lotes_V1.csv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Registro_Codificacion_Lotes_V1.csv</w:t>
      </w:r>
    </w:p>
    <w:bookmarkEnd w:id="16"/>
    <w:bookmarkStart w:id="17" w:name="anexos"/>
    <w:p>
      <w:pPr>
        <w:pStyle w:val="Heading2"/>
      </w:pPr>
      <w:r>
        <w:t xml:space="preserve">9. ANEXOS</w:t>
      </w:r>
    </w:p>
    <w:p>
      <w:pPr>
        <w:pStyle w:val="Compact"/>
        <w:numPr>
          <w:ilvl w:val="0"/>
          <w:numId w:val="1006"/>
        </w:numPr>
      </w:pPr>
      <w:r>
        <w:t xml:space="preserve">Anexo 1: Estructura oficial del codigo de lote.</w:t>
      </w:r>
    </w:p>
    <w:p>
      <w:pPr>
        <w:pStyle w:val="Compact"/>
        <w:numPr>
          <w:ilvl w:val="0"/>
          <w:numId w:val="1006"/>
        </w:numPr>
      </w:pPr>
      <w:r>
        <w:t xml:space="preserve">Anexo 2: Lista maestra de abreviaturas de producto.</w:t>
      </w:r>
    </w:p>
    <w:bookmarkEnd w:id="17"/>
    <w:bookmarkStart w:id="18" w:name="control-de-cambios"/>
    <w:p>
      <w:pPr>
        <w:pStyle w:val="Heading2"/>
      </w:pPr>
      <w:r>
        <w:t xml:space="preserve">10. CONTROL DE CAMBIOS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FECHA</w:t>
            </w:r>
          </w:p>
        </w:tc>
        <w:tc>
          <w:tcPr/>
          <w:p>
            <w:pPr>
              <w:pStyle w:val="Compact"/>
            </w:pPr>
            <w:r>
              <w:t xml:space="preserve">DESCRIPCION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2026-02-18</w:t>
            </w:r>
          </w:p>
        </w:tc>
        <w:tc>
          <w:tcPr/>
          <w:p>
            <w:pPr>
              <w:pStyle w:val="Compact"/>
            </w:pPr>
            <w:r>
              <w:t xml:space="preserve">Emision inicial separada de DC-SI12.</w:t>
            </w:r>
          </w:p>
        </w:tc>
      </w:tr>
    </w:tbl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2026-02-18T10:33:50Z</dcterms:created>
  <dcterms:modified xsi:type="dcterms:W3CDTF">2026-02-18T10:33:50Z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