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009d288276d320eee598109014852ed4cb21396"/>
    <w:p>
      <w:pPr>
        <w:pStyle w:val="Heading1"/>
      </w:pPr>
      <w:r>
        <w:t xml:space="preserve">PROCEDIMIENTO OPERATIVO ESTANDARIZADO: LIBERACIÓN DE LOTES DE PRODUCTO TERMINADO</w:t>
      </w:r>
    </w:p>
    <w:p>
      <w:pPr>
        <w:pStyle w:val="FirstParagraph"/>
      </w:pPr>
      <w:r>
        <w:t xml:space="preserve">CÓDIGO | VERSIÓN | VIGENCIA | PRÓXIMA REVISIÓN |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 xml:space="preserve">CGC-POE-3.12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2026-02-18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12 meses o ante cambio regulatorio</w:t>
      </w:r>
      <w:r>
        <w:t xml:space="preserve"> </w:t>
      </w:r>
      <w:r>
        <w:t xml:space="preserve">|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Establecer la metodología oficial e inequívoca para determinar la conformidad de cada lote de producto terminado fabricado por</w:t>
      </w:r>
      <w:r>
        <w:t xml:space="preserve"> </w:t>
      </w:r>
      <w:r>
        <w:rPr>
          <w:b/>
          <w:bCs/>
        </w:rPr>
        <w:t xml:space="preserve">CALFERQUIM S.A.S.</w:t>
      </w:r>
      <w:r>
        <w:t xml:space="preserve"> </w:t>
      </w:r>
      <w:r>
        <w:t xml:space="preserve">antes de su distribución y venta, asegurando que solo los productos que cumplen con todas las especificaciones de calidad y requisitos legales sean liberados al mercado.</w:t>
      </w:r>
    </w:p>
    <w:bookmarkEnd w:id="9"/>
    <w:bookmarkStart w:id="10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Este procedimiento es de aplicación</w:t>
      </w:r>
      <w:r>
        <w:t xml:space="preserve"> </w:t>
      </w:r>
      <w:r>
        <w:rPr>
          <w:b/>
          <w:bCs/>
        </w:rPr>
        <w:t xml:space="preserve">obligatoria</w:t>
      </w:r>
      <w:r>
        <w:t xml:space="preserve"> </w:t>
      </w:r>
      <w:r>
        <w:t xml:space="preserve">para el 100% de los lotes de fertilizantes y acondicionadores de suelo fabricados, envasados o acondicionados en la planta de producción. Inicia con la notificación de terminación de lote por Producción y finaliza con el cambio de estatus a</w:t>
      </w:r>
      <w:r>
        <w:t xml:space="preserve"> </w:t>
      </w:r>
      <w:r>
        <w:t xml:space="preserve">“APROBADO”</w:t>
      </w:r>
      <w:r>
        <w:t xml:space="preserve"> </w:t>
      </w:r>
      <w:r>
        <w:t xml:space="preserve">o</w:t>
      </w:r>
      <w:r>
        <w:t xml:space="preserve"> </w:t>
      </w:r>
      <w:r>
        <w:t xml:space="preserve">“RECHAZADO”</w:t>
      </w:r>
      <w:r>
        <w:t xml:space="preserve"> </w:t>
      </w:r>
      <w:r>
        <w:t xml:space="preserve">en el sistema de gestión.</w:t>
      </w:r>
    </w:p>
    <w:bookmarkEnd w:id="10"/>
    <w:bookmarkStart w:id="11" w:name="definiciones"/>
    <w:p>
      <w:pPr>
        <w:pStyle w:val="Heading2"/>
      </w:pPr>
      <w:r>
        <w:t xml:space="preserve">3. DEFINICIONES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Liberación de Lote:</w:t>
      </w:r>
      <w:r>
        <w:t xml:space="preserve"> </w:t>
      </w:r>
      <w:r>
        <w:t xml:space="preserve">Dictamen formal documentado mediante el cual el Director Técnico certifica que un lote cumple con los requisitos de la Autorización de Comercialización (Registro ICA) y las Buenas Prácticas de Manufactura.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Cuarentena:</w:t>
      </w:r>
      <w:r>
        <w:t xml:space="preserve"> </w:t>
      </w:r>
      <w:r>
        <w:t xml:space="preserve">Estado de aislamiento físico o lógico en el que se mantienen los materiales o productos a la espera de una decisión sobre su aprobación o rechazo.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Expediente de Lote:</w:t>
      </w:r>
      <w:r>
        <w:t xml:space="preserve"> </w:t>
      </w:r>
      <w:r>
        <w:t xml:space="preserve">Conjunto de documentos que trazan la historia de fabricación de un lote (órdenes, registros de proceso, resultados analíticos, etiquetas).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Desviación:</w:t>
      </w:r>
      <w:r>
        <w:t xml:space="preserve"> </w:t>
      </w:r>
      <w:r>
        <w:t xml:space="preserve">Cualquier no cumplimiento de una instrucción o procedimiento aprobado.</w:t>
      </w:r>
    </w:p>
    <w:bookmarkEnd w:id="11"/>
    <w:bookmarkStart w:id="12" w:name="documentos-de-referencia"/>
    <w:p>
      <w:pPr>
        <w:pStyle w:val="Heading2"/>
      </w:pPr>
      <w:r>
        <w:t xml:space="preserve">4. DOCUMENTOS DE REFERENCIA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Resolución ICA pv0 (Propuesta):</w:t>
      </w:r>
      <w:r>
        <w:t xml:space="preserve"> </w:t>
      </w:r>
      <w:r>
        <w:t xml:space="preserve">Anexo I-B, Pilar 5</w:t>
      </w:r>
      <w:r>
        <w:t xml:space="preserve"> </w:t>
      </w:r>
      <w:r>
        <w:t xml:space="preserve">“Liberación de Lotes”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Resolución ICA 150 de 2003:</w:t>
      </w:r>
      <w:r>
        <w:t xml:space="preserve"> </w:t>
      </w:r>
      <w:r>
        <w:t xml:space="preserve">Artículo 14 (Control de Calidad).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NTC-ISO 2859-1:</w:t>
      </w:r>
      <w:r>
        <w:t xml:space="preserve"> </w:t>
      </w:r>
      <w:r>
        <w:t xml:space="preserve">Procedimientos de muestreo para inspección por atributos.</w:t>
      </w:r>
    </w:p>
    <w:bookmarkEnd w:id="12"/>
    <w:bookmarkStart w:id="13" w:name="X7d026e48587bff76c4ba88e8e147799b42f3a9f"/>
    <w:p>
      <w:pPr>
        <w:pStyle w:val="Heading2"/>
      </w:pPr>
      <w:r>
        <w:t xml:space="preserve">4.1. CONSIDERACIONES GMP (BUENAS PRÁCTICAS DE MANUFACTURA)</w:t>
      </w:r>
    </w:p>
    <w:p>
      <w:pPr>
        <w:pStyle w:val="FirstParagraph"/>
      </w:pPr>
      <w:r>
        <w:t xml:space="preserve">El personal involucrado en la liberación</w:t>
      </w:r>
      <w:r>
        <w:t xml:space="preserve"> </w:t>
      </w:r>
      <w:r>
        <w:rPr>
          <w:b/>
          <w:bCs/>
        </w:rPr>
        <w:t xml:space="preserve">debe</w:t>
      </w:r>
      <w:r>
        <w:t xml:space="preserve"> </w:t>
      </w:r>
      <w:r>
        <w:t xml:space="preserve">garantizar la integridad de los datos.</w:t>
      </w:r>
      <w:r>
        <w:t xml:space="preserve"> </w:t>
      </w:r>
      <w:r>
        <w:rPr>
          <w:b/>
          <w:bCs/>
        </w:rPr>
        <w:t xml:space="preserve">Se prohíbe explícitamente</w:t>
      </w:r>
      <w:r>
        <w:t xml:space="preserve"> </w:t>
      </w:r>
      <w:r>
        <w:t xml:space="preserve">la liberación de productos sin resultados analíticos conformes o con desviaciones críticas abiertas sin justificación técnica aprobada. La falsificación o alteración de registros de liberación constituye una falta grave que compromete la licencia de operación de la compañía.</w:t>
      </w:r>
    </w:p>
    <w:bookmarkEnd w:id="13"/>
    <w:bookmarkStart w:id="17" w:name="X89142c71e170216e29a3051bfe72221f0d57b2b"/>
    <w:p>
      <w:pPr>
        <w:pStyle w:val="Heading2"/>
      </w:pPr>
      <w:r>
        <w:t xml:space="preserve">5. RESPONSABILIDADES Y POLÍTICAS (Estilo Opus)</w:t>
      </w:r>
    </w:p>
    <w:bookmarkStart w:id="14" w:name="dirección-técnica"/>
    <w:p>
      <w:pPr>
        <w:pStyle w:val="Heading3"/>
      </w:pPr>
      <w:r>
        <w:t xml:space="preserve">5.1. Dirección Técnica</w:t>
      </w:r>
    </w:p>
    <w:p>
      <w:pPr>
        <w:pStyle w:val="FirstParagraph"/>
      </w:pPr>
      <w:r>
        <w:t xml:space="preserve">La autoridad final para la liberación de producto recae</w:t>
      </w:r>
      <w:r>
        <w:t xml:space="preserve"> </w:t>
      </w:r>
      <w:r>
        <w:rPr>
          <w:b/>
          <w:bCs/>
        </w:rPr>
        <w:t xml:space="preserve">exclusivamente</w:t>
      </w:r>
      <w:r>
        <w:t xml:space="preserve"> </w:t>
      </w:r>
      <w:r>
        <w:t xml:space="preserve">en el Director Técnico.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Debe</w:t>
      </w:r>
      <w:r>
        <w:t xml:space="preserve"> </w:t>
      </w:r>
      <w:r>
        <w:t xml:space="preserve">revisar el Expediente de Lote completo antes de firmar la liberación.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Debe</w:t>
      </w:r>
      <w:r>
        <w:t xml:space="preserve"> </w:t>
      </w:r>
      <w:r>
        <w:t xml:space="preserve">asegurar que las desviaciones críticas hayan sido investigadas y cerradas satisfactoriamente.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Tiene la potestad indelegable</w:t>
      </w:r>
      <w:r>
        <w:t xml:space="preserve"> </w:t>
      </w:r>
      <w:r>
        <w:t xml:space="preserve">de rechazar cualquier lote que no ofrezca garantías de seguridad o eficacia, independientemente de las presiones comerciales.</w:t>
      </w:r>
    </w:p>
    <w:bookmarkEnd w:id="14"/>
    <w:bookmarkStart w:id="15" w:name="jefe-de-control-de-calidad"/>
    <w:p>
      <w:pPr>
        <w:pStyle w:val="Heading3"/>
      </w:pPr>
      <w:r>
        <w:t xml:space="preserve">5.2. Jefe de Control de Calidad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consolidar el Expediente de Lote y verificar que todos los controles en proceso (3.03, 3.06, 3.08, 3.10) estén documentados.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garantizar la custodia de la contramuestra (según POE 3.14) antes de presentar el lote para liberación.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 responsable</w:t>
      </w:r>
      <w:r>
        <w:t xml:space="preserve"> </w:t>
      </w:r>
      <w:r>
        <w:t xml:space="preserve">de emitir el Certificado de Análisis (COA) solo cuando el lote haya obtenido el estatus de</w:t>
      </w:r>
      <w:r>
        <w:t xml:space="preserve"> </w:t>
      </w:r>
      <w:r>
        <w:t xml:space="preserve">“APROBADO”</w:t>
      </w:r>
      <w:r>
        <w:t xml:space="preserve">.</w:t>
      </w:r>
    </w:p>
    <w:bookmarkEnd w:id="15"/>
    <w:bookmarkStart w:id="16" w:name="jefe-de-producción"/>
    <w:p>
      <w:pPr>
        <w:pStyle w:val="Heading3"/>
      </w:pPr>
      <w:r>
        <w:t xml:space="preserve">5.3. Jefe de Producción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notificar inmediatamente la terminación del lote y trasladarlo físicamente a la Zona de Cuarentena.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 prohíbe</w:t>
      </w:r>
      <w:r>
        <w:t xml:space="preserve"> </w:t>
      </w:r>
      <w:r>
        <w:t xml:space="preserve">despachar o mover producto fuera de la zona de cuarentena sin la etiqueta verde de</w:t>
      </w:r>
      <w:r>
        <w:t xml:space="preserve"> </w:t>
      </w:r>
      <w:r>
        <w:t xml:space="preserve">“APROBADO”</w:t>
      </w:r>
      <w:r>
        <w:t xml:space="preserve"> </w:t>
      </w:r>
      <w:r>
        <w:t xml:space="preserve">firmada por Calidad.</w:t>
      </w:r>
    </w:p>
    <w:bookmarkEnd w:id="16"/>
    <w:bookmarkEnd w:id="17"/>
    <w:bookmarkStart w:id="22" w:name="procedimiento-estilo-glm-4.7"/>
    <w:p>
      <w:pPr>
        <w:pStyle w:val="Heading2"/>
      </w:pPr>
      <w:r>
        <w:t xml:space="preserve">6. PROCEDIMIENTO (Estilo GLM-4.7)</w:t>
      </w:r>
    </w:p>
    <w:bookmarkStart w:id="18" w:name="cierre-de-producción-y-cuarentena"/>
    <w:p>
      <w:pPr>
        <w:pStyle w:val="Heading3"/>
      </w:pPr>
      <w:r>
        <w:t xml:space="preserve">6.1. Cierre de Producción y Cuarentena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Al finalizar el envase,</w:t>
      </w:r>
      <w:r>
        <w:t xml:space="preserve"> </w:t>
      </w:r>
      <w:r>
        <w:rPr>
          <w:b/>
          <w:bCs/>
        </w:rPr>
        <w:t xml:space="preserve">identificar</w:t>
      </w:r>
      <w:r>
        <w:t xml:space="preserve"> </w:t>
      </w:r>
      <w:r>
        <w:t xml:space="preserve">cada estiba/bulto con rótulo temporal de color</w:t>
      </w:r>
      <w:r>
        <w:t xml:space="preserve"> </w:t>
      </w:r>
      <w:r>
        <w:rPr>
          <w:b/>
          <w:bCs/>
        </w:rPr>
        <w:t xml:space="preserve">AMARILLO</w:t>
      </w:r>
      <w:r>
        <w:t xml:space="preserve"> </w:t>
      </w:r>
      <w:r>
        <w:t xml:space="preserve">(</w:t>
      </w:r>
      <w:r>
        <w:t xml:space="preserve">“CUARENTENA”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PRODUCCIÓN:</w:t>
      </w:r>
      <w:r>
        <w:t xml:space="preserve"> </w:t>
      </w:r>
      <w:r>
        <w:rPr>
          <w:b/>
          <w:bCs/>
        </w:rPr>
        <w:t xml:space="preserve">Trasladar</w:t>
      </w:r>
      <w:r>
        <w:t xml:space="preserve"> </w:t>
      </w:r>
      <w:r>
        <w:t xml:space="preserve">la totalidad del lote a la zona delimitada de Cuarentena.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PRODUCCIÓN:</w:t>
      </w:r>
      <w:r>
        <w:t xml:space="preserve"> </w:t>
      </w:r>
      <w:r>
        <w:rPr>
          <w:b/>
          <w:bCs/>
        </w:rPr>
        <w:t xml:space="preserve">Entregar</w:t>
      </w:r>
      <w:r>
        <w:t xml:space="preserve"> </w:t>
      </w:r>
      <w:r>
        <w:t xml:space="preserve">al Jefe de Calidad el paquete de registros de producción (Molienda, Mezcla, Envase) firmados.</w:t>
      </w:r>
    </w:p>
    <w:bookmarkEnd w:id="18"/>
    <w:bookmarkStart w:id="19" w:name="revisión-del-expediente-de-lote"/>
    <w:p>
      <w:pPr>
        <w:pStyle w:val="Heading3"/>
      </w:pPr>
      <w:r>
        <w:t xml:space="preserve">6.2. Revisión del Expediente de Lote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la presencia y completitud de los siguientes documentos en el Expediente de Lote:</w:t>
      </w:r>
    </w:p>
    <w:p>
      <w:pPr>
        <w:pStyle w:val="Compact"/>
        <w:numPr>
          <w:ilvl w:val="1"/>
          <w:numId w:val="1007"/>
        </w:numPr>
      </w:pPr>
      <w:r>
        <w:t xml:space="preserve">Registro de Balance de Materias Primas (POE 3.05) -</w:t>
      </w:r>
      <w:r>
        <w:t xml:space="preserve"> </w:t>
      </w:r>
      <w:r>
        <w:rPr>
          <w:i/>
          <w:iCs/>
        </w:rPr>
        <w:t xml:space="preserve">¿Desviación &lt; 2%?</w:t>
      </w:r>
    </w:p>
    <w:p>
      <w:pPr>
        <w:pStyle w:val="Compact"/>
        <w:numPr>
          <w:ilvl w:val="1"/>
          <w:numId w:val="1007"/>
        </w:numPr>
      </w:pPr>
      <w:r>
        <w:t xml:space="preserve">Registro de Control de Mezcla (POE 3.06) -</w:t>
      </w:r>
      <w:r>
        <w:t xml:space="preserve"> </w:t>
      </w:r>
      <w:r>
        <w:rPr>
          <w:i/>
          <w:iCs/>
        </w:rPr>
        <w:t xml:space="preserve">¿Uniformidad OK?</w:t>
      </w:r>
    </w:p>
    <w:p>
      <w:pPr>
        <w:pStyle w:val="Compact"/>
        <w:numPr>
          <w:ilvl w:val="1"/>
          <w:numId w:val="1007"/>
        </w:numPr>
      </w:pPr>
      <w:r>
        <w:t xml:space="preserve">Registro de Envase y Rotulado (POE 3.10) -</w:t>
      </w:r>
      <w:r>
        <w:t xml:space="preserve"> </w:t>
      </w:r>
      <w:r>
        <w:rPr>
          <w:i/>
          <w:iCs/>
        </w:rPr>
        <w:t xml:space="preserve">¿Peso y etiquetas OK?</w:t>
      </w:r>
    </w:p>
    <w:p>
      <w:pPr>
        <w:pStyle w:val="Compact"/>
        <w:numPr>
          <w:ilvl w:val="1"/>
          <w:numId w:val="1007"/>
        </w:numPr>
      </w:pPr>
      <w:r>
        <w:t xml:space="preserve">Resultado de Análisis de Laboratorio (Fisicoquímico).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Confirmar</w:t>
      </w:r>
      <w:r>
        <w:t xml:space="preserve"> </w:t>
      </w:r>
      <w:r>
        <w:t xml:space="preserve">que se ha tomado y almacenado la Contramuestra (POE 3.14).</w:t>
      </w:r>
    </w:p>
    <w:bookmarkEnd w:id="19"/>
    <w:bookmarkStart w:id="20" w:name="dictamen-y-decisión"/>
    <w:p>
      <w:pPr>
        <w:pStyle w:val="Heading3"/>
      </w:pPr>
      <w:r>
        <w:t xml:space="preserve">6.3. Dictamen y Decisión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DIRECCIÓN TÉCNICA:</w:t>
      </w:r>
      <w:r>
        <w:t xml:space="preserve"> </w:t>
      </w:r>
      <w:r>
        <w:rPr>
          <w:b/>
          <w:bCs/>
        </w:rPr>
        <w:t xml:space="preserve">Evaluar</w:t>
      </w:r>
      <w:r>
        <w:t xml:space="preserve"> </w:t>
      </w:r>
      <w:r>
        <w:t xml:space="preserve">toda la evidencia documental y analítica.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DIRECCIÓN TÉCNICA:</w:t>
      </w:r>
      <w:r>
        <w:t xml:space="preserve"> </w:t>
      </w:r>
      <w:r>
        <w:rPr>
          <w:b/>
          <w:bCs/>
        </w:rPr>
        <w:t xml:space="preserve">Tomar decisión</w:t>
      </w:r>
      <w:r>
        <w:t xml:space="preserve"> </w:t>
      </w:r>
      <w:r>
        <w:t xml:space="preserve">registrándola en el</w:t>
      </w:r>
      <w:r>
        <w:t xml:space="preserve"> </w:t>
      </w:r>
      <w:r>
        <w:rPr>
          <w:rStyle w:val="VerbatimChar"/>
        </w:rPr>
        <w:t xml:space="preserve">Formato_Liberacion_Lotes_V1.csv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CASO A: APROBADO</w:t>
      </w:r>
      <w:r>
        <w:t xml:space="preserve"> </w:t>
      </w:r>
      <w:r>
        <w:t xml:space="preserve">(Cumple todos los requisitos)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Firmar</w:t>
      </w:r>
      <w:r>
        <w:t xml:space="preserve"> </w:t>
      </w:r>
      <w:r>
        <w:t xml:space="preserve">liberación en el formato.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Autorizar</w:t>
      </w:r>
      <w:r>
        <w:t xml:space="preserve"> </w:t>
      </w:r>
      <w:r>
        <w:t xml:space="preserve">emisión de Certificado de Análisis.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Instruir</w:t>
      </w:r>
      <w:r>
        <w:t xml:space="preserve"> </w:t>
      </w:r>
      <w:r>
        <w:t xml:space="preserve">cambio de rótulo a color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(</w:t>
      </w:r>
      <w:r>
        <w:t xml:space="preserve">“APROBADO”</w:t>
      </w:r>
      <w:r>
        <w:t xml:space="preserve">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CASO B: RECHAZADO</w:t>
      </w:r>
      <w:r>
        <w:t xml:space="preserve"> </w:t>
      </w:r>
      <w:r>
        <w:t xml:space="preserve">(Incumplimiento crítico no subsanable)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Registrar</w:t>
      </w:r>
      <w:r>
        <w:t xml:space="preserve"> </w:t>
      </w:r>
      <w:r>
        <w:t xml:space="preserve">motivo de rechazo.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Abrir</w:t>
      </w:r>
      <w:r>
        <w:t xml:space="preserve"> </w:t>
      </w:r>
      <w:r>
        <w:t xml:space="preserve">Reporte de No Conformidad.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Instruir</w:t>
      </w:r>
      <w:r>
        <w:t xml:space="preserve"> </w:t>
      </w:r>
      <w:r>
        <w:t xml:space="preserve">cambio de rótulo a color</w:t>
      </w:r>
      <w:r>
        <w:t xml:space="preserve"> </w:t>
      </w:r>
      <w:r>
        <w:rPr>
          <w:b/>
          <w:bCs/>
        </w:rPr>
        <w:t xml:space="preserve">ROJO</w:t>
      </w:r>
      <w:r>
        <w:t xml:space="preserve"> </w:t>
      </w:r>
      <w:r>
        <w:t xml:space="preserve">(</w:t>
      </w:r>
      <w:r>
        <w:t xml:space="preserve">“RECHAZADO”</w:t>
      </w:r>
      <w:r>
        <w:t xml:space="preserve">).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Ordenar</w:t>
      </w:r>
      <w:r>
        <w:t xml:space="preserve"> </w:t>
      </w:r>
      <w:r>
        <w:t xml:space="preserve">traslado a Área de Producto No Conforme para disposición final (destrucción o reproceso mayor).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CASO C: OBSERVADO / CUARENTENA EXTENDIDA</w:t>
      </w:r>
      <w:r>
        <w:t xml:space="preserve"> </w:t>
      </w:r>
      <w:r>
        <w:t xml:space="preserve">(Duda técnica o falta de datos)</w:t>
      </w:r>
    </w:p>
    <w:p>
      <w:pPr>
        <w:pStyle w:val="Compact"/>
        <w:numPr>
          <w:ilvl w:val="2"/>
          <w:numId w:val="1012"/>
        </w:numPr>
      </w:pPr>
      <w:r>
        <w:rPr>
          <w:b/>
          <w:bCs/>
        </w:rPr>
        <w:t xml:space="preserve">Solicitar</w:t>
      </w:r>
      <w:r>
        <w:t xml:space="preserve"> </w:t>
      </w:r>
      <w:r>
        <w:t xml:space="preserve">re-análisis o investigación adicional.</w:t>
      </w:r>
    </w:p>
    <w:p>
      <w:pPr>
        <w:pStyle w:val="Compact"/>
        <w:numPr>
          <w:ilvl w:val="2"/>
          <w:numId w:val="1012"/>
        </w:numPr>
      </w:pPr>
      <w:r>
        <w:rPr>
          <w:b/>
          <w:bCs/>
        </w:rPr>
        <w:t xml:space="preserve">Mantener</w:t>
      </w:r>
      <w:r>
        <w:t xml:space="preserve"> </w:t>
      </w:r>
      <w:r>
        <w:t xml:space="preserve">estatus de Cuarentena hasta resolución.</w:t>
      </w:r>
    </w:p>
    <w:bookmarkEnd w:id="20"/>
    <w:bookmarkStart w:id="21" w:name="identificación-física"/>
    <w:p>
      <w:pPr>
        <w:pStyle w:val="Heading3"/>
      </w:pPr>
      <w:r>
        <w:t xml:space="preserve">6.4. Identificación Física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Adherir</w:t>
      </w:r>
      <w:r>
        <w:t xml:space="preserve"> </w:t>
      </w:r>
      <w:r>
        <w:t xml:space="preserve">el rótulo de estatus final (VERDE o ROJO) sobre el rótulo de cuarentena en cada unidad logística (estiba).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LOGÍSTICA:</w:t>
      </w:r>
      <w:r>
        <w:t xml:space="preserve"> </w:t>
      </w:r>
      <w:r>
        <w:rPr>
          <w:b/>
          <w:bCs/>
        </w:rPr>
        <w:t xml:space="preserve">Mover</w:t>
      </w:r>
      <w:r>
        <w:t xml:space="preserve"> </w:t>
      </w:r>
      <w:r>
        <w:t xml:space="preserve">el producto al Área de Despachos (si Aprobado) o Área de No Conforme (si Rechazado).</w:t>
      </w:r>
      <w:r>
        <w:t xml:space="preserve"> </w:t>
      </w:r>
      <w:r>
        <w:rPr>
          <w:b/>
          <w:bCs/>
        </w:rPr>
        <w:t xml:space="preserve">Solo se permite mover producto con etiqueta VERDE.</w:t>
      </w:r>
    </w:p>
    <w:bookmarkEnd w:id="21"/>
    <w:bookmarkEnd w:id="22"/>
    <w:bookmarkStart w:id="23" w:name="criterios-de-aceptación-y-estados"/>
    <w:p>
      <w:pPr>
        <w:pStyle w:val="Heading2"/>
      </w:pPr>
      <w:r>
        <w:t xml:space="preserve">7. CRITERIOS DE ACEPTACIÓN Y ESTADOS</w:t>
      </w:r>
    </w:p>
    <w:p>
      <w:pPr>
        <w:pStyle w:val="FirstParagraph"/>
      </w:pPr>
      <w:r>
        <w:t xml:space="preserve">ESTADO | COLOR | CRITERIO | ACCIÓN PERMITIDA |</w:t>
      </w:r>
      <w:r>
        <w:br/>
      </w:r>
      <w:r>
        <w:br/>
      </w:r>
    </w:p>
    <w:p>
      <w:pPr>
        <w:pStyle w:val="BodyText"/>
      </w:pPr>
      <w:r>
        <w:t xml:space="preserve">|:—|:—|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CUARENTENA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AMARILLO</w:t>
      </w:r>
      <w:r>
        <w:t xml:space="preserve"> </w:t>
      </w:r>
      <w:r>
        <w:t xml:space="preserve">| Lote en proceso de análisis o revisión documental. | Almacenamiento restringido.</w:t>
      </w:r>
      <w:r>
        <w:t xml:space="preserve"> </w:t>
      </w:r>
      <w:r>
        <w:rPr>
          <w:b/>
          <w:bCs/>
        </w:rPr>
        <w:t xml:space="preserve">PROHIBIDO VENDER.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APROBADO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| Cumple 100% especificaciones y documentos completos. | Distribución y Venta libre.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ROJO</w:t>
      </w:r>
      <w:r>
        <w:t xml:space="preserve"> </w:t>
      </w:r>
      <w:r>
        <w:t xml:space="preserve">| Incumple especificaciones críticas o legales. | Bloqueo total. Destrucción o Reproceso. |</w:t>
      </w:r>
    </w:p>
    <w:bookmarkEnd w:id="23"/>
    <w:bookmarkStart w:id="24" w:name="registros-asociados"/>
    <w:p>
      <w:pPr>
        <w:pStyle w:val="Heading2"/>
      </w:pPr>
      <w:r>
        <w:t xml:space="preserve">8. REGISTROS ASOCIADOS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Formato_Liberacion_Lotes_V1.csv</w:t>
      </w:r>
      <w:r>
        <w:t xml:space="preserve">: Documento maestro donde se registra la decisión final del Director Técnico.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Registro_Liberacion_Lotes_V1.csv</w:t>
      </w:r>
      <w:r>
        <w:t xml:space="preserve">: Log histórico de todos los lotes liberados y su estatus.</w:t>
      </w:r>
    </w:p>
    <w:bookmarkEnd w:id="24"/>
    <w:bookmarkStart w:id="25" w:name="anexos"/>
    <w:p>
      <w:pPr>
        <w:pStyle w:val="Heading2"/>
      </w:pPr>
      <w:r>
        <w:t xml:space="preserve">9. ANEXOS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Anexo 1:</w:t>
      </w:r>
      <w:r>
        <w:t xml:space="preserve"> </w:t>
      </w:r>
      <w:r>
        <w:t xml:space="preserve">Flujo de Decisión de Liberación.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Anexo 2:</w:t>
      </w:r>
      <w:r>
        <w:t xml:space="preserve"> </w:t>
      </w:r>
      <w:r>
        <w:t xml:space="preserve">Especificaciones de Etiquetas de Estatus (Cuarentena/Aprobado/Rechazado).</w:t>
      </w:r>
    </w:p>
    <w:bookmarkEnd w:id="25"/>
    <w:bookmarkStart w:id="26" w:name="control-de-cambios"/>
    <w:p>
      <w:pPr>
        <w:pStyle w:val="Heading2"/>
      </w:pPr>
      <w:r>
        <w:t xml:space="preserve">10. CONTROL DE CAMBIOS</w:t>
      </w:r>
    </w:p>
    <w:p>
      <w:pPr>
        <w:pStyle w:val="FirstParagraph"/>
      </w:pPr>
      <w:r>
        <w:t xml:space="preserve">VERSIÓN | FECHA | DESCRIPCIÓN DEL CAMBIO |</w:t>
      </w:r>
      <w:r>
        <w:br/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2026-02-18T10:33:50Z</dcterms:created>
  <dcterms:modified xsi:type="dcterms:W3CDTF">2026-02-18T10:33:50Z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