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X07a7987a0ab5b1045c1e758ffb53485a47f57a4"/>
    <w:p>
      <w:pPr>
        <w:pStyle w:val="Heading1"/>
      </w:pPr>
      <w:r>
        <w:t xml:space="preserve">PROCEDIMIENTO OPERATIVO ESTANDARIZADO: MUESTREO Y CONTROL DE CALIDAD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CODIGO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VIGENCIA</w:t>
            </w:r>
          </w:p>
        </w:tc>
        <w:tc>
          <w:tcPr/>
          <w:p>
            <w:pPr>
              <w:pStyle w:val="Compact"/>
            </w:pPr>
            <w:r>
              <w:t xml:space="preserve">PROXIMA REVISION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POE-3.13</w:t>
            </w:r>
          </w:p>
        </w:tc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t xml:space="preserve">2026-02-18</w:t>
            </w:r>
          </w:p>
        </w:tc>
        <w:tc>
          <w:tcPr/>
          <w:p>
            <w:pPr>
              <w:pStyle w:val="Compact"/>
            </w:pPr>
            <w:r>
              <w:t xml:space="preserve">12 meses o ante cambio regulatorio</w:t>
            </w:r>
          </w:p>
        </w:tc>
      </w:tr>
    </w:tbl>
    <w:bookmarkStart w:id="9" w:name="objetivo"/>
    <w:p>
      <w:pPr>
        <w:pStyle w:val="Heading2"/>
      </w:pPr>
      <w:r>
        <w:t xml:space="preserve">1. OBJETIVO</w:t>
      </w:r>
    </w:p>
    <w:p>
      <w:pPr>
        <w:pStyle w:val="FirstParagraph"/>
      </w:pPr>
      <w:r>
        <w:t xml:space="preserve">Definir el metodo de muestreo, evaluacion y liberacion tecnica de materias primas y producto terminado para asegurar cumplimiento de especificaciones.</w:t>
      </w:r>
    </w:p>
    <w:bookmarkEnd w:id="9"/>
    <w:bookmarkStart w:id="10" w:name="alcance"/>
    <w:p>
      <w:pPr>
        <w:pStyle w:val="Heading2"/>
      </w:pPr>
      <w:r>
        <w:t xml:space="preserve">2. ALCANCE</w:t>
      </w:r>
    </w:p>
    <w:p>
      <w:pPr>
        <w:pStyle w:val="FirstParagraph"/>
      </w:pPr>
      <w:r>
        <w:t xml:space="preserve">Aplica a control de calidad de MP, proceso y producto terminado en todas las lineas de produccion.</w:t>
      </w:r>
    </w:p>
    <w:bookmarkEnd w:id="10"/>
    <w:bookmarkStart w:id="11" w:name="definiciones"/>
    <w:p>
      <w:pPr>
        <w:pStyle w:val="Heading2"/>
      </w:pPr>
      <w:r>
        <w:t xml:space="preserve">3. DEFINICIONES</w:t>
      </w:r>
    </w:p>
    <w:p>
      <w:pPr>
        <w:pStyle w:val="Compact"/>
        <w:numPr>
          <w:ilvl w:val="0"/>
          <w:numId w:val="1001"/>
        </w:numPr>
      </w:pPr>
      <w:r>
        <w:t xml:space="preserve">Muestra representativa: Fraccion que refleja el comportamiento del lote.</w:t>
      </w:r>
    </w:p>
    <w:p>
      <w:pPr>
        <w:pStyle w:val="Compact"/>
        <w:numPr>
          <w:ilvl w:val="0"/>
          <w:numId w:val="1001"/>
        </w:numPr>
      </w:pPr>
      <w:r>
        <w:t xml:space="preserve">Especificacion: Limite de aceptacion definido para parametro critico.</w:t>
      </w:r>
    </w:p>
    <w:p>
      <w:pPr>
        <w:pStyle w:val="Compact"/>
        <w:numPr>
          <w:ilvl w:val="0"/>
          <w:numId w:val="1001"/>
        </w:numPr>
      </w:pPr>
      <w:r>
        <w:t xml:space="preserve">No conformidad: Resultado fuera de criterio de aceptacion.</w:t>
      </w:r>
    </w:p>
    <w:bookmarkEnd w:id="11"/>
    <w:bookmarkStart w:id="12" w:name="documentos-de-referencia"/>
    <w:p>
      <w:pPr>
        <w:pStyle w:val="Heading2"/>
      </w:pPr>
      <w:r>
        <w:t xml:space="preserve">4. DOCUMENTOS DE REFERENCIA</w:t>
      </w:r>
    </w:p>
    <w:p>
      <w:pPr>
        <w:pStyle w:val="Compact"/>
        <w:numPr>
          <w:ilvl w:val="0"/>
          <w:numId w:val="1002"/>
        </w:numPr>
      </w:pPr>
      <w:r>
        <w:t xml:space="preserve">DC-SI12 Asignacion de Lotes, Muestreo y Control de Calidad.</w:t>
      </w:r>
    </w:p>
    <w:p>
      <w:pPr>
        <w:pStyle w:val="Compact"/>
        <w:numPr>
          <w:ilvl w:val="0"/>
          <w:numId w:val="1002"/>
        </w:numPr>
      </w:pPr>
      <w:r>
        <w:t xml:space="preserve">DC-SI34 Ensayos Fisicoquimicos en Laboratorio.</w:t>
      </w:r>
    </w:p>
    <w:bookmarkEnd w:id="12"/>
    <w:bookmarkStart w:id="13" w:name="responsabilidades-y-politicas"/>
    <w:p>
      <w:pPr>
        <w:pStyle w:val="Heading2"/>
      </w:pPr>
      <w:r>
        <w:t xml:space="preserve">5. RESPONSABILIDADES Y POLITICAS</w:t>
      </w:r>
    </w:p>
    <w:p>
      <w:pPr>
        <w:pStyle w:val="Compact"/>
        <w:numPr>
          <w:ilvl w:val="0"/>
          <w:numId w:val="1003"/>
        </w:numPr>
      </w:pPr>
      <w:r>
        <w:t xml:space="preserve">Calidad debe ejecutar o supervisar toda toma de muestra oficial.</w:t>
      </w:r>
    </w:p>
    <w:p>
      <w:pPr>
        <w:pStyle w:val="Compact"/>
        <w:numPr>
          <w:ilvl w:val="0"/>
          <w:numId w:val="1003"/>
        </w:numPr>
      </w:pPr>
      <w:r>
        <w:t xml:space="preserve">Laboratorio debe reportar resultados sin alteracion ni retraso injustificado.</w:t>
      </w:r>
    </w:p>
    <w:p>
      <w:pPr>
        <w:pStyle w:val="Compact"/>
        <w:numPr>
          <w:ilvl w:val="0"/>
          <w:numId w:val="1003"/>
        </w:numPr>
      </w:pPr>
      <w:r>
        <w:t xml:space="preserve">Se prohibe liberar lote sin evidencia analitica registrada.</w:t>
      </w:r>
    </w:p>
    <w:p>
      <w:pPr>
        <w:pStyle w:val="Compact"/>
        <w:numPr>
          <w:ilvl w:val="0"/>
          <w:numId w:val="1003"/>
        </w:numPr>
      </w:pPr>
      <w:r>
        <w:t xml:space="preserve">Direccion Tecnica define acciones para resultados fuera de especificacion.</w:t>
      </w:r>
    </w:p>
    <w:bookmarkEnd w:id="13"/>
    <w:bookmarkStart w:id="14" w:name="procedimiento"/>
    <w:p>
      <w:pPr>
        <w:pStyle w:val="Heading2"/>
      </w:pPr>
      <w:r>
        <w:t xml:space="preserve">6. PROCEDIMIENTO</w:t>
      </w:r>
    </w:p>
    <w:p>
      <w:pPr>
        <w:pStyle w:val="Compact"/>
        <w:numPr>
          <w:ilvl w:val="0"/>
          <w:numId w:val="1004"/>
        </w:numPr>
      </w:pPr>
      <w:r>
        <w:t xml:space="preserve">Calidad define plan de muestreo por tipo de producto (anexo 1).</w:t>
      </w:r>
    </w:p>
    <w:p>
      <w:pPr>
        <w:pStyle w:val="Compact"/>
        <w:numPr>
          <w:ilvl w:val="0"/>
          <w:numId w:val="1004"/>
        </w:numPr>
      </w:pPr>
      <w:r>
        <w:t xml:space="preserve">Analista toma muestra con utensilios limpios y rotula inmediatamente.</w:t>
      </w:r>
    </w:p>
    <w:p>
      <w:pPr>
        <w:pStyle w:val="Compact"/>
        <w:numPr>
          <w:ilvl w:val="0"/>
          <w:numId w:val="1004"/>
        </w:numPr>
      </w:pPr>
      <w:r>
        <w:t xml:space="preserve">Analista registra toma en</w:t>
      </w:r>
      <w:r>
        <w:t xml:space="preserve"> </w:t>
      </w:r>
      <w:r>
        <w:rPr>
          <w:rStyle w:val="VerbatimChar"/>
        </w:rPr>
        <w:t xml:space="preserve">Formato_Control_Muestreo_V1.csv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Laboratorio ejecuta ensayos fisicoquimicos segun metodo aplicable.</w:t>
      </w:r>
    </w:p>
    <w:p>
      <w:pPr>
        <w:pStyle w:val="Compact"/>
        <w:numPr>
          <w:ilvl w:val="0"/>
          <w:numId w:val="1004"/>
        </w:numPr>
      </w:pPr>
      <w:r>
        <w:t xml:space="preserve">Calidad compara resultados con criterios del anexo 2 y especificaciones tecnicas vigentes del producto/MP.</w:t>
      </w:r>
    </w:p>
    <w:p>
      <w:pPr>
        <w:pStyle w:val="Compact"/>
        <w:numPr>
          <w:ilvl w:val="0"/>
          <w:numId w:val="1004"/>
        </w:numPr>
      </w:pPr>
      <w:r>
        <w:t xml:space="preserve">Calidad clasifica lote: Conforme, Condicionado o No Conforme.</w:t>
      </w:r>
    </w:p>
    <w:p>
      <w:pPr>
        <w:pStyle w:val="Compact"/>
        <w:numPr>
          <w:ilvl w:val="0"/>
          <w:numId w:val="1004"/>
        </w:numPr>
      </w:pPr>
      <w:r>
        <w:t xml:space="preserve">Calidad consolida resultados en</w:t>
      </w:r>
      <w:r>
        <w:t xml:space="preserve"> </w:t>
      </w:r>
      <w:r>
        <w:rPr>
          <w:rStyle w:val="VerbatimChar"/>
        </w:rPr>
        <w:t xml:space="preserve">Registro_Muestreo_V1.csv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Si hay no conformidad, se activa investigacion y bloqueo del lote.</w:t>
      </w:r>
    </w:p>
    <w:bookmarkEnd w:id="14"/>
    <w:bookmarkStart w:id="15" w:name="criterios-de-control-y-aceptacion"/>
    <w:p>
      <w:pPr>
        <w:pStyle w:val="Heading2"/>
      </w:pPr>
      <w:r>
        <w:t xml:space="preserve">7. CRITERIOS DE CONTROL Y ACEPTACION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PARAMETRO</w:t>
            </w:r>
          </w:p>
        </w:tc>
        <w:tc>
          <w:tcPr/>
          <w:p>
            <w:pPr>
              <w:pStyle w:val="Compact"/>
            </w:pPr>
            <w:r>
              <w:t xml:space="preserve">CRITERIO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Identificacion de muestra</w:t>
            </w:r>
          </w:p>
        </w:tc>
        <w:tc>
          <w:tcPr/>
          <w:p>
            <w:pPr>
              <w:pStyle w:val="Compact"/>
            </w:pPr>
            <w:r>
              <w:t xml:space="preserve">Producto, lote, fecha y responsable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Integridad de muestra</w:t>
            </w:r>
          </w:p>
        </w:tc>
        <w:tc>
          <w:tcPr/>
          <w:p>
            <w:pPr>
              <w:pStyle w:val="Compact"/>
            </w:pPr>
            <w:r>
              <w:t xml:space="preserve">Envase cerrado, sin contaminacion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Tiempos de analisis</w:t>
            </w:r>
          </w:p>
        </w:tc>
        <w:tc>
          <w:tcPr/>
          <w:p>
            <w:pPr>
              <w:pStyle w:val="Compact"/>
            </w:pPr>
            <w:r>
              <w:t xml:space="preserve">MP: maximo 48 h / PT: maximo 72 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Decision tecnica</w:t>
            </w:r>
          </w:p>
        </w:tc>
        <w:tc>
          <w:tcPr/>
          <w:p>
            <w:pPr>
              <w:pStyle w:val="Compact"/>
            </w:pPr>
            <w:r>
              <w:t xml:space="preserve">Basada en especificacion, metodo y criterio documentado</w:t>
            </w:r>
          </w:p>
        </w:tc>
      </w:tr>
    </w:tbl>
    <w:bookmarkEnd w:id="15"/>
    <w:bookmarkStart w:id="16" w:name="registros-asociados"/>
    <w:p>
      <w:pPr>
        <w:pStyle w:val="Heading2"/>
      </w:pPr>
      <w:r>
        <w:t xml:space="preserve">8. REGISTROS ASOCIADOS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Formato_Control_Muestreo_V1.csv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Registro_Muestreo_V1.csv</w:t>
      </w:r>
    </w:p>
    <w:bookmarkEnd w:id="16"/>
    <w:bookmarkStart w:id="17" w:name="anexos"/>
    <w:p>
      <w:pPr>
        <w:pStyle w:val="Heading2"/>
      </w:pPr>
      <w:r>
        <w:t xml:space="preserve">9. ANEXOS</w:t>
      </w:r>
    </w:p>
    <w:p>
      <w:pPr>
        <w:pStyle w:val="Compact"/>
        <w:numPr>
          <w:ilvl w:val="0"/>
          <w:numId w:val="1006"/>
        </w:numPr>
      </w:pPr>
      <w:r>
        <w:t xml:space="preserve">Anexo 1: Plan de muestreo por tipo de producto.</w:t>
      </w:r>
    </w:p>
    <w:p>
      <w:pPr>
        <w:pStyle w:val="Compact"/>
        <w:numPr>
          <w:ilvl w:val="0"/>
          <w:numId w:val="1006"/>
        </w:numPr>
      </w:pPr>
      <w:r>
        <w:t xml:space="preserve">Anexo 2: Criterios de aceptacion y rechazo.</w:t>
      </w:r>
    </w:p>
    <w:bookmarkEnd w:id="17"/>
    <w:bookmarkStart w:id="18" w:name="control-de-cambios"/>
    <w:p>
      <w:pPr>
        <w:pStyle w:val="Heading2"/>
      </w:pPr>
      <w:r>
        <w:t xml:space="preserve">10. CONTROL DE CAMBIOS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DESCRIPCION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t xml:space="preserve">2026-02-18</w:t>
            </w:r>
          </w:p>
        </w:tc>
        <w:tc>
          <w:tcPr/>
          <w:p>
            <w:pPr>
              <w:pStyle w:val="Compact"/>
            </w:pPr>
            <w:r>
              <w:t xml:space="preserve">Emision inicial homologada desde DC-SI12/DC-SI34.</w:t>
            </w:r>
          </w:p>
        </w:tc>
      </w:tr>
    </w:tbl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2026-02-18T10:33:50Z</dcterms:created>
  <dcterms:modified xsi:type="dcterms:W3CDTF">2026-02-18T10:33:50Z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