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nx-3.16-01---flujo-de-atencion-pqr"/>
    <w:p>
      <w:pPr>
        <w:pStyle w:val="Heading1"/>
      </w:pPr>
      <w:r>
        <w:t xml:space="preserve">ANX 3.16-01 - FLUJO DE ATENCION PQR</w:t>
      </w:r>
    </w:p>
    <w:p>
      <w:pPr>
        <w:pStyle w:val="Compact"/>
        <w:numPr>
          <w:ilvl w:val="0"/>
          <w:numId w:val="1001"/>
        </w:numPr>
      </w:pPr>
      <w:r>
        <w:t xml:space="preserve">Recepcion y radicacion.</w:t>
      </w:r>
    </w:p>
    <w:p>
      <w:pPr>
        <w:pStyle w:val="Compact"/>
        <w:numPr>
          <w:ilvl w:val="0"/>
          <w:numId w:val="1001"/>
        </w:numPr>
      </w:pPr>
      <w:r>
        <w:t xml:space="preserve">Clasificacion por criticidad.</w:t>
      </w:r>
    </w:p>
    <w:p>
      <w:pPr>
        <w:pStyle w:val="Compact"/>
        <w:numPr>
          <w:ilvl w:val="0"/>
          <w:numId w:val="1001"/>
        </w:numPr>
      </w:pPr>
      <w:r>
        <w:t xml:space="preserve">Analisis tecnico/comercial.</w:t>
      </w:r>
    </w:p>
    <w:p>
      <w:pPr>
        <w:pStyle w:val="Compact"/>
        <w:numPr>
          <w:ilvl w:val="0"/>
          <w:numId w:val="1001"/>
        </w:numPr>
      </w:pPr>
      <w:r>
        <w:t xml:space="preserve">Definicion de respuesta y acciones.</w:t>
      </w:r>
    </w:p>
    <w:p>
      <w:pPr>
        <w:pStyle w:val="Compact"/>
        <w:numPr>
          <w:ilvl w:val="0"/>
          <w:numId w:val="1001"/>
        </w:numPr>
      </w:pPr>
      <w:r>
        <w:t xml:space="preserve">Comunicacion al cliente.</w:t>
      </w:r>
    </w:p>
    <w:p>
      <w:pPr>
        <w:pStyle w:val="Compact"/>
        <w:numPr>
          <w:ilvl w:val="0"/>
          <w:numId w:val="1001"/>
        </w:numPr>
      </w:pPr>
      <w:r>
        <w:t xml:space="preserve">Cierre y archivo de evidencia.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