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nx-3.16-02---tiempos-de-respuesta-pqr"/>
    <w:p>
      <w:pPr>
        <w:pStyle w:val="Heading1"/>
      </w:pPr>
      <w:r>
        <w:t xml:space="preserve">ANX 3.16-02 - TIEMPOS DE RESPUESTA PQR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CRITICIDAD</w:t>
            </w:r>
          </w:p>
        </w:tc>
        <w:tc>
          <w:tcPr/>
          <w:p>
            <w:pPr>
              <w:pStyle w:val="Compact"/>
            </w:pPr>
            <w:r>
              <w:t xml:space="preserve">ACUSE DE RECIBO</w:t>
            </w:r>
          </w:p>
        </w:tc>
        <w:tc>
          <w:tcPr/>
          <w:p>
            <w:pPr>
              <w:pStyle w:val="Compact"/>
            </w:pPr>
            <w:r>
              <w:t xml:space="preserve">RESPUESTA OBJETIVO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1 dia habil</w:t>
            </w:r>
          </w:p>
        </w:tc>
        <w:tc>
          <w:tcPr/>
          <w:p>
            <w:pPr>
              <w:pStyle w:val="Compact"/>
            </w:pPr>
            <w:r>
              <w:t xml:space="preserve">5 dias habiles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2 dias habiles</w:t>
            </w:r>
          </w:p>
        </w:tc>
        <w:tc>
          <w:tcPr/>
          <w:p>
            <w:pPr>
              <w:pStyle w:val="Compact"/>
            </w:pPr>
            <w:r>
              <w:t xml:space="preserve">10 dias habiles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Baja</w:t>
            </w:r>
          </w:p>
        </w:tc>
        <w:tc>
          <w:tcPr/>
          <w:p>
            <w:pPr>
              <w:pStyle w:val="Compact"/>
            </w:pPr>
            <w:r>
              <w:t xml:space="preserve">2 dias habiles</w:t>
            </w:r>
          </w:p>
        </w:tc>
        <w:tc>
          <w:tcPr/>
          <w:p>
            <w:pPr>
              <w:pStyle w:val="Compact"/>
            </w:pPr>
            <w:r>
              <w:t xml:space="preserve">15 dias habiles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2026-02-18T10:33:53Z</dcterms:created>
  <dcterms:modified xsi:type="dcterms:W3CDTF">2026-02-18T10:33:53Z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