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d3df6441bc0e37bf2298a8a3fefa175fca125bc"/>
    <w:p>
      <w:pPr>
        <w:pStyle w:val="Heading1"/>
      </w:pPr>
      <w:r>
        <w:t xml:space="preserve">PROCEDIMIENTO OPERATIVO ESTANDARIZADO: SERVICIO AL CLIENTE Y PQR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CODIGO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VIGENCIA</w:t>
            </w:r>
          </w:p>
        </w:tc>
        <w:tc>
          <w:tcPr/>
          <w:p>
            <w:pPr>
              <w:pStyle w:val="Compact"/>
            </w:pPr>
            <w:r>
              <w:t xml:space="preserve">PROXIMA REVISION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POE-3.16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2026-02-18</w:t>
            </w:r>
          </w:p>
        </w:tc>
        <w:tc>
          <w:tcPr/>
          <w:p>
            <w:pPr>
              <w:pStyle w:val="Compact"/>
            </w:pPr>
            <w:r>
              <w:t xml:space="preserve">12 meses o ante cambio regulatorio</w:t>
            </w:r>
          </w:p>
        </w:tc>
      </w:tr>
    </w:tbl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Definir el flujo para recepcion, analisis, respuesta y cierre de peticiones, quejas y reclamos (PQR), garantizando oportunidad de respuesta y trazabilidad de decisiones.</w:t>
      </w:r>
    </w:p>
    <w:bookmarkEnd w:id="9"/>
    <w:bookmarkStart w:id="10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Aplica a PQR de clientes, distribuidores y terceros relacionadas con producto, despacho y servicio.</w:t>
      </w:r>
    </w:p>
    <w:bookmarkEnd w:id="10"/>
    <w:bookmarkStart w:id="11" w:name="definiciones"/>
    <w:p>
      <w:pPr>
        <w:pStyle w:val="Heading2"/>
      </w:pPr>
      <w:r>
        <w:t xml:space="preserve">3. DEFINICIONES</w:t>
      </w:r>
    </w:p>
    <w:p>
      <w:pPr>
        <w:pStyle w:val="Compact"/>
        <w:numPr>
          <w:ilvl w:val="0"/>
          <w:numId w:val="1001"/>
        </w:numPr>
      </w:pPr>
      <w:r>
        <w:t xml:space="preserve">PQR: Peticion, queja o reclamo.</w:t>
      </w:r>
    </w:p>
    <w:p>
      <w:pPr>
        <w:pStyle w:val="Compact"/>
        <w:numPr>
          <w:ilvl w:val="0"/>
          <w:numId w:val="1001"/>
        </w:numPr>
      </w:pPr>
      <w:r>
        <w:t xml:space="preserve">RPC: Reporte de problema de calidad asociado a una PQR tecnica.</w:t>
      </w:r>
    </w:p>
    <w:p>
      <w:pPr>
        <w:pStyle w:val="Compact"/>
        <w:numPr>
          <w:ilvl w:val="0"/>
          <w:numId w:val="1001"/>
        </w:numPr>
      </w:pPr>
      <w:r>
        <w:t xml:space="preserve">Cierre: Estado final con respuesta formal emitida y evidencia archivada.</w:t>
      </w:r>
    </w:p>
    <w:bookmarkEnd w:id="11"/>
    <w:bookmarkStart w:id="12" w:name="documentos-de-referencia"/>
    <w:p>
      <w:pPr>
        <w:pStyle w:val="Heading2"/>
      </w:pPr>
      <w:r>
        <w:t xml:space="preserve">4. DOCUMENTOS DE REFERENCIA</w:t>
      </w:r>
    </w:p>
    <w:p>
      <w:pPr>
        <w:pStyle w:val="Compact"/>
        <w:numPr>
          <w:ilvl w:val="0"/>
          <w:numId w:val="1002"/>
        </w:numPr>
      </w:pPr>
      <w:r>
        <w:t xml:space="preserve">DC-SI07 Quejas y Reclamos.</w:t>
      </w:r>
    </w:p>
    <w:p>
      <w:pPr>
        <w:pStyle w:val="Compact"/>
        <w:numPr>
          <w:ilvl w:val="0"/>
          <w:numId w:val="1002"/>
        </w:numPr>
      </w:pPr>
      <w:r>
        <w:t xml:space="preserve">DC-SI11 Servicio al Cliente.</w:t>
      </w:r>
    </w:p>
    <w:p>
      <w:pPr>
        <w:pStyle w:val="Compact"/>
        <w:numPr>
          <w:ilvl w:val="0"/>
          <w:numId w:val="1002"/>
        </w:numPr>
      </w:pPr>
      <w:r>
        <w:t xml:space="preserve">DC-SI13 Politica Servicio al Cliente.</w:t>
      </w:r>
    </w:p>
    <w:p>
      <w:pPr>
        <w:pStyle w:val="Compact"/>
        <w:numPr>
          <w:ilvl w:val="0"/>
          <w:numId w:val="1002"/>
        </w:numPr>
      </w:pPr>
      <w:r>
        <w:t xml:space="preserve">DC-SI15 Politica de Quejas y Reclamos.</w:t>
      </w:r>
    </w:p>
    <w:p>
      <w:pPr>
        <w:pStyle w:val="Compact"/>
        <w:numPr>
          <w:ilvl w:val="0"/>
          <w:numId w:val="1002"/>
        </w:numPr>
      </w:pPr>
      <w:r>
        <w:t xml:space="preserve">Procedimiento interno vigente de retiro/contencion de producto.</w:t>
      </w:r>
    </w:p>
    <w:bookmarkEnd w:id="12"/>
    <w:bookmarkStart w:id="13" w:name="responsabilidades-y-politicas"/>
    <w:p>
      <w:pPr>
        <w:pStyle w:val="Heading2"/>
      </w:pPr>
      <w:r>
        <w:t xml:space="preserve">5. RESPONSABILIDADES Y POLITICAS</w:t>
      </w:r>
    </w:p>
    <w:p>
      <w:pPr>
        <w:pStyle w:val="Compact"/>
        <w:numPr>
          <w:ilvl w:val="0"/>
          <w:numId w:val="1003"/>
        </w:numPr>
      </w:pPr>
      <w:r>
        <w:t xml:space="preserve">Servicio al Cliente debe registrar toda PQR recibida por cualquier canal.</w:t>
      </w:r>
    </w:p>
    <w:p>
      <w:pPr>
        <w:pStyle w:val="Compact"/>
        <w:numPr>
          <w:ilvl w:val="0"/>
          <w:numId w:val="1003"/>
        </w:numPr>
      </w:pPr>
      <w:r>
        <w:t xml:space="preserve">Calidad debe investigar causas cuando exista impacto de calidad.</w:t>
      </w:r>
    </w:p>
    <w:p>
      <w:pPr>
        <w:pStyle w:val="Compact"/>
        <w:numPr>
          <w:ilvl w:val="0"/>
          <w:numId w:val="1003"/>
        </w:numPr>
      </w:pPr>
      <w:r>
        <w:t xml:space="preserve">Direccion Tecnica debe aprobar respuestas tecnicas criticas.</w:t>
      </w:r>
    </w:p>
    <w:p>
      <w:pPr>
        <w:pStyle w:val="Compact"/>
        <w:numPr>
          <w:ilvl w:val="0"/>
          <w:numId w:val="1003"/>
        </w:numPr>
      </w:pPr>
      <w:r>
        <w:t xml:space="preserve">Se prohibe cerrar PQR sin evidencia de analisis y respuesta emitida.</w:t>
      </w:r>
    </w:p>
    <w:bookmarkEnd w:id="13"/>
    <w:bookmarkStart w:id="14" w:name="procedimiento"/>
    <w:p>
      <w:pPr>
        <w:pStyle w:val="Heading2"/>
      </w:pPr>
      <w:r>
        <w:t xml:space="preserve">6. PROCEDIMIENTO</w:t>
      </w:r>
    </w:p>
    <w:p>
      <w:pPr>
        <w:pStyle w:val="Compact"/>
        <w:numPr>
          <w:ilvl w:val="0"/>
          <w:numId w:val="1004"/>
        </w:numPr>
      </w:pPr>
      <w:r>
        <w:t xml:space="preserve">Servicio al Cliente recibe PQR y asigna consecutivo en</w:t>
      </w:r>
      <w:r>
        <w:t xml:space="preserve"> </w:t>
      </w:r>
      <w:r>
        <w:rPr>
          <w:rStyle w:val="VerbatimChar"/>
        </w:rPr>
        <w:t xml:space="preserve">Formato_Registro_PQR_V1.csv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Servicio al Cliente clasifica tipo (peticion, queja, reclamo) y criticidad.</w:t>
      </w:r>
    </w:p>
    <w:p>
      <w:pPr>
        <w:pStyle w:val="Compact"/>
        <w:numPr>
          <w:ilvl w:val="0"/>
          <w:numId w:val="1004"/>
        </w:numPr>
      </w:pPr>
      <w:r>
        <w:t xml:space="preserve">Calidad analiza soporte, lote y antecedentes cuando aplique.</w:t>
      </w:r>
    </w:p>
    <w:p>
      <w:pPr>
        <w:pStyle w:val="Compact"/>
        <w:numPr>
          <w:ilvl w:val="0"/>
          <w:numId w:val="1004"/>
        </w:numPr>
      </w:pPr>
      <w:r>
        <w:t xml:space="preserve">Si requiere investigacion tecnica, se abre RPC y se integra resultado.</w:t>
      </w:r>
    </w:p>
    <w:p>
      <w:pPr>
        <w:pStyle w:val="Compact"/>
        <w:numPr>
          <w:ilvl w:val="0"/>
          <w:numId w:val="1004"/>
        </w:numPr>
      </w:pPr>
      <w:r>
        <w:t xml:space="preserve">Si la PQR implica riesgo sanitario, incumplimiento de especificacion o posible afectacion de multiples lotes, se activa de inmediato el protocolo interno de retiro/contencion con Direccion Tecnica y Calidad.</w:t>
      </w:r>
    </w:p>
    <w:p>
      <w:pPr>
        <w:pStyle w:val="Compact"/>
        <w:numPr>
          <w:ilvl w:val="0"/>
          <w:numId w:val="1004"/>
        </w:numPr>
      </w:pPr>
      <w:r>
        <w:t xml:space="preserve">Responsable redacta respuesta y define acciones correctivas/preventivas.</w:t>
      </w:r>
    </w:p>
    <w:p>
      <w:pPr>
        <w:pStyle w:val="Compact"/>
        <w:numPr>
          <w:ilvl w:val="0"/>
          <w:numId w:val="1004"/>
        </w:numPr>
      </w:pPr>
      <w:r>
        <w:t xml:space="preserve">Direccion Tecnica aprueba respuesta para casos de alto impacto.</w:t>
      </w:r>
    </w:p>
    <w:p>
      <w:pPr>
        <w:pStyle w:val="Compact"/>
        <w:numPr>
          <w:ilvl w:val="0"/>
          <w:numId w:val="1004"/>
        </w:numPr>
      </w:pPr>
      <w:r>
        <w:t xml:space="preserve">Servicio al Cliente comunica respuesta al cliente y registra fecha.</w:t>
      </w:r>
    </w:p>
    <w:p>
      <w:pPr>
        <w:pStyle w:val="Compact"/>
        <w:numPr>
          <w:ilvl w:val="0"/>
          <w:numId w:val="1004"/>
        </w:numPr>
      </w:pPr>
      <w:r>
        <w:t xml:space="preserve">Calidad cierra seguimiento en</w:t>
      </w:r>
      <w:r>
        <w:t xml:space="preserve"> </w:t>
      </w:r>
      <w:r>
        <w:rPr>
          <w:rStyle w:val="VerbatimChar"/>
        </w:rPr>
        <w:t xml:space="preserve">Registro_Seguimiento_PQR_V1.csv</w:t>
      </w:r>
      <w:r>
        <w:t xml:space="preserve">.</w:t>
      </w:r>
    </w:p>
    <w:bookmarkEnd w:id="14"/>
    <w:bookmarkStart w:id="15" w:name="criterios-de-control-y-aceptacion"/>
    <w:p>
      <w:pPr>
        <w:pStyle w:val="Heading2"/>
      </w:pPr>
      <w:r>
        <w:t xml:space="preserve">7. CRITERIOS DE CONTROL Y ACEPTACION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PARAMETRO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inicial</w:t>
            </w:r>
          </w:p>
        </w:tc>
        <w:tc>
          <w:tcPr/>
          <w:p>
            <w:pPr>
              <w:pStyle w:val="Compact"/>
            </w:pPr>
            <w:r>
              <w:t xml:space="preserve">PQR con consecutivo, cliente, lote y descripcion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de acuse</w:t>
            </w:r>
          </w:p>
        </w:tc>
        <w:tc>
          <w:tcPr/>
          <w:p>
            <w:pPr>
              <w:pStyle w:val="Compact"/>
            </w:pPr>
            <w:r>
              <w:t xml:space="preserve">Maximo 2 dias habiles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</w:pPr>
            <w:r>
              <w:t xml:space="preserve">Maximo 15 dias habiles, salvo casos complejos justificados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Gatillo de retiro/contencion</w:t>
            </w:r>
          </w:p>
        </w:tc>
        <w:tc>
          <w:tcPr/>
          <w:p>
            <w:pPr>
              <w:pStyle w:val="Compact"/>
            </w:pPr>
            <w:r>
              <w:t xml:space="preserve">Activacion inmediata ante riesgo critico documentado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Cierre</w:t>
            </w:r>
          </w:p>
        </w:tc>
        <w:tc>
          <w:tcPr/>
          <w:p>
            <w:pPr>
              <w:pStyle w:val="Compact"/>
            </w:pPr>
            <w:r>
              <w:t xml:space="preserve">Con accion definida y evidencia de comunicacion</w:t>
            </w:r>
          </w:p>
        </w:tc>
      </w:tr>
    </w:tbl>
    <w:bookmarkEnd w:id="15"/>
    <w:bookmarkStart w:id="16" w:name="registros-asociados"/>
    <w:p>
      <w:pPr>
        <w:pStyle w:val="Heading2"/>
      </w:pPr>
      <w:r>
        <w:t xml:space="preserve">8. REGISTROS ASOCIADOS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Formato_Registro_PQR_V1.csv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Registro_Seguimiento_PQR_V1.csv</w:t>
      </w:r>
    </w:p>
    <w:bookmarkEnd w:id="16"/>
    <w:bookmarkStart w:id="17" w:name="anexos"/>
    <w:p>
      <w:pPr>
        <w:pStyle w:val="Heading2"/>
      </w:pPr>
      <w:r>
        <w:t xml:space="preserve">9. ANEXOS</w:t>
      </w:r>
    </w:p>
    <w:p>
      <w:pPr>
        <w:pStyle w:val="Compact"/>
        <w:numPr>
          <w:ilvl w:val="0"/>
          <w:numId w:val="1006"/>
        </w:numPr>
      </w:pPr>
      <w:r>
        <w:t xml:space="preserve">Anexo 1: Flujo de atencion PQR.</w:t>
      </w:r>
    </w:p>
    <w:p>
      <w:pPr>
        <w:pStyle w:val="Compact"/>
        <w:numPr>
          <w:ilvl w:val="0"/>
          <w:numId w:val="1006"/>
        </w:numPr>
      </w:pPr>
      <w:r>
        <w:t xml:space="preserve">Anexo 2: Tiempos de respuesta por criticidad.</w:t>
      </w:r>
    </w:p>
    <w:bookmarkEnd w:id="17"/>
    <w:bookmarkStart w:id="18" w:name="control-de-cambios"/>
    <w:p>
      <w:pPr>
        <w:pStyle w:val="Heading2"/>
      </w:pPr>
      <w:r>
        <w:t xml:space="preserve">10. CONTROL DE CAMBIOS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DESCRIPCION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2026-02-18</w:t>
            </w:r>
          </w:p>
        </w:tc>
        <w:tc>
          <w:tcPr/>
          <w:p>
            <w:pPr>
              <w:pStyle w:val="Compact"/>
            </w:pPr>
            <w:r>
              <w:t xml:space="preserve">Emision inicial homologada unificando DC-SI07/DC-SI11.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2026-02-18T10:33:51Z</dcterms:created>
  <dcterms:modified xsi:type="dcterms:W3CDTF">2026-02-18T10:33:51Z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