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dd0c74bf4a874e3b1632c5b2a2f09114dc0656"/>
    <w:p>
      <w:pPr>
        <w:pStyle w:val="Heading1"/>
      </w:pPr>
      <w:r>
        <w:t xml:space="preserve">ANX 3.17-01 - CONDICIONES DE ALMACENAMIENTO DE PT</w:t>
      </w:r>
    </w:p>
    <w:p>
      <w:pPr>
        <w:pStyle w:val="Compact"/>
        <w:numPr>
          <w:ilvl w:val="0"/>
          <w:numId w:val="1001"/>
        </w:numPr>
      </w:pPr>
      <w:r>
        <w:t xml:space="preserve">Mantener PT en estibas estables y protegidas de humedad.</w:t>
      </w:r>
    </w:p>
    <w:p>
      <w:pPr>
        <w:pStyle w:val="Compact"/>
        <w:numPr>
          <w:ilvl w:val="0"/>
          <w:numId w:val="1001"/>
        </w:numPr>
      </w:pPr>
      <w:r>
        <w:t xml:space="preserve">Conservar etiquetas y lote visibles en toda unidad.</w:t>
      </w:r>
    </w:p>
    <w:p>
      <w:pPr>
        <w:pStyle w:val="Compact"/>
        <w:numPr>
          <w:ilvl w:val="0"/>
          <w:numId w:val="1001"/>
        </w:numPr>
      </w:pPr>
      <w:r>
        <w:t xml:space="preserve">Separar PT en cuarentena de PT liberado.</w:t>
      </w:r>
    </w:p>
    <w:p>
      <w:pPr>
        <w:pStyle w:val="Compact"/>
        <w:numPr>
          <w:ilvl w:val="0"/>
          <w:numId w:val="1001"/>
        </w:numPr>
      </w:pPr>
      <w:r>
        <w:t xml:space="preserve">Proteger de contaminacion cruzada con MP o residuos.</w:t>
      </w:r>
    </w:p>
    <w:p>
      <w:pPr>
        <w:pStyle w:val="Compact"/>
        <w:numPr>
          <w:ilvl w:val="0"/>
          <w:numId w:val="1001"/>
        </w:numPr>
      </w:pPr>
      <w:r>
        <w:t xml:space="preserve">Mantener zonas con orden y limpieza permanente.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