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70fcefb69938574a77d1bedddb585256b682ca"/>
    <w:p>
      <w:pPr>
        <w:pStyle w:val="Heading1"/>
      </w:pPr>
      <w:r>
        <w:t xml:space="preserve">PROCEDIMIENTO OPERATIVO ESTANDARIZADO: ALMACENAMIENTO DE PRODUCTO TERMINADO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PROXIMA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POE-3.17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12 meses o ante cambio regulatorio</w:t>
            </w:r>
          </w:p>
        </w:tc>
      </w:tr>
    </w:tbl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Estandarizar el almacenamiento de producto terminado (PT) para preservar calidad, evitar mezclas indebidas y asegurar despacho por lote correcto.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PT liberado o en cuarentena dentro de bodegas de CALFERQUIM S.A.S.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t xml:space="preserve">PT: Producto terminado en presentacion comercial.</w:t>
      </w:r>
    </w:p>
    <w:p>
      <w:pPr>
        <w:pStyle w:val="Compact"/>
        <w:numPr>
          <w:ilvl w:val="0"/>
          <w:numId w:val="1001"/>
        </w:numPr>
      </w:pPr>
      <w:r>
        <w:t xml:space="preserve">FEFO: First Expire First Out, salida por fecha de vencimiento mas cercana.</w:t>
      </w:r>
    </w:p>
    <w:p>
      <w:pPr>
        <w:pStyle w:val="Compact"/>
        <w:numPr>
          <w:ilvl w:val="0"/>
          <w:numId w:val="1001"/>
        </w:numPr>
      </w:pPr>
      <w:r>
        <w:t xml:space="preserve">Segregacion: Separacion fisica por estado o compatibilidad.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t xml:space="preserve">DC-SI37 Almacenamiento Seguro y Conteo de Bultos.</w:t>
      </w:r>
    </w:p>
    <w:p>
      <w:pPr>
        <w:pStyle w:val="Compact"/>
        <w:numPr>
          <w:ilvl w:val="0"/>
          <w:numId w:val="1002"/>
        </w:numPr>
      </w:pPr>
      <w:r>
        <w:t xml:space="preserve">RC-SI53 Traslado de Producto Terminado al Almacen.</w:t>
      </w:r>
    </w:p>
    <w:p>
      <w:pPr>
        <w:pStyle w:val="Compact"/>
        <w:numPr>
          <w:ilvl w:val="0"/>
          <w:numId w:val="1002"/>
        </w:numPr>
      </w:pPr>
      <w:r>
        <w:t xml:space="preserve">Formato_Control_Almacenamiento_PT_V1.csv.</w:t>
      </w:r>
    </w:p>
    <w:bookmarkEnd w:id="12"/>
    <w:bookmarkStart w:id="13" w:name="responsabilidades-y-politicas"/>
    <w:p>
      <w:pPr>
        <w:pStyle w:val="Heading2"/>
      </w:pPr>
      <w:r>
        <w:t xml:space="preserve">5. RESPONSABILIDADES Y POLITICAS</w:t>
      </w:r>
    </w:p>
    <w:p>
      <w:pPr>
        <w:pStyle w:val="Compact"/>
        <w:numPr>
          <w:ilvl w:val="0"/>
          <w:numId w:val="1003"/>
        </w:numPr>
      </w:pPr>
      <w:r>
        <w:t xml:space="preserve">Bodega debe recibir solo PT con lote y estado documental valido.</w:t>
      </w:r>
    </w:p>
    <w:p>
      <w:pPr>
        <w:pStyle w:val="Compact"/>
        <w:numPr>
          <w:ilvl w:val="0"/>
          <w:numId w:val="1003"/>
        </w:numPr>
      </w:pPr>
      <w:r>
        <w:t xml:space="preserve">Calidad debe validar estatus de lote antes de despacho.</w:t>
      </w:r>
    </w:p>
    <w:p>
      <w:pPr>
        <w:pStyle w:val="Compact"/>
        <w:numPr>
          <w:ilvl w:val="0"/>
          <w:numId w:val="1003"/>
        </w:numPr>
      </w:pPr>
      <w:r>
        <w:t xml:space="preserve">Se prohibe mezclar lotes incompatibles o sin identificacion.</w:t>
      </w:r>
    </w:p>
    <w:p>
      <w:pPr>
        <w:pStyle w:val="Compact"/>
        <w:numPr>
          <w:ilvl w:val="0"/>
          <w:numId w:val="1003"/>
        </w:numPr>
      </w:pPr>
      <w:r>
        <w:t xml:space="preserve">Se debe aplicar FEFO en toda salida de inventario.</w:t>
      </w:r>
    </w:p>
    <w:bookmarkEnd w:id="13"/>
    <w:bookmarkStart w:id="14" w:name="procedimiento"/>
    <w:p>
      <w:pPr>
        <w:pStyle w:val="Heading2"/>
      </w:pPr>
      <w:r>
        <w:t xml:space="preserve">6. PROCEDIMIENTO</w:t>
      </w:r>
    </w:p>
    <w:p>
      <w:pPr>
        <w:pStyle w:val="Compact"/>
        <w:numPr>
          <w:ilvl w:val="0"/>
          <w:numId w:val="1004"/>
        </w:numPr>
      </w:pPr>
      <w:r>
        <w:t xml:space="preserve">Bodega recibe PT con soporte de traslado y verifica integridad de empaque.</w:t>
      </w:r>
    </w:p>
    <w:p>
      <w:pPr>
        <w:pStyle w:val="Compact"/>
        <w:numPr>
          <w:ilvl w:val="0"/>
          <w:numId w:val="1004"/>
        </w:numPr>
      </w:pPr>
      <w:r>
        <w:t xml:space="preserve">Bodega registra ingreso en</w:t>
      </w:r>
      <w:r>
        <w:t xml:space="preserve"> </w:t>
      </w:r>
      <w:r>
        <w:rPr>
          <w:rStyle w:val="VerbatimChar"/>
        </w:rPr>
        <w:t xml:space="preserve">Formato_Control_Almacenamiento_PT_V1.csv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Bodega ubica PT por lote, estado y compatibilidad (anexo 2).</w:t>
      </w:r>
    </w:p>
    <w:p>
      <w:pPr>
        <w:pStyle w:val="Compact"/>
        <w:numPr>
          <w:ilvl w:val="0"/>
          <w:numId w:val="1004"/>
        </w:numPr>
      </w:pPr>
      <w:r>
        <w:t xml:space="preserve">Calidad verifica identificacion y estatus de liberacion.</w:t>
      </w:r>
    </w:p>
    <w:p>
      <w:pPr>
        <w:pStyle w:val="Compact"/>
        <w:numPr>
          <w:ilvl w:val="0"/>
          <w:numId w:val="1004"/>
        </w:numPr>
      </w:pPr>
      <w:r>
        <w:t xml:space="preserve">Bodega realiza conteo ciclico y control de condiciones ambientales.</w:t>
      </w:r>
    </w:p>
    <w:p>
      <w:pPr>
        <w:pStyle w:val="Compact"/>
        <w:numPr>
          <w:ilvl w:val="0"/>
          <w:numId w:val="1004"/>
        </w:numPr>
      </w:pPr>
      <w:r>
        <w:t xml:space="preserve">Para despacho, Bodega selecciona lote por FEFO y valida con Calidad.</w:t>
      </w:r>
    </w:p>
    <w:p>
      <w:pPr>
        <w:pStyle w:val="Compact"/>
        <w:numPr>
          <w:ilvl w:val="0"/>
          <w:numId w:val="1004"/>
        </w:numPr>
      </w:pPr>
      <w:r>
        <w:t xml:space="preserve">Bodega consolida trazabilidad de movimientos en</w:t>
      </w:r>
      <w:r>
        <w:t xml:space="preserve"> </w:t>
      </w:r>
      <w:r>
        <w:rPr>
          <w:rStyle w:val="VerbatimChar"/>
        </w:rPr>
        <w:t xml:space="preserve">Registro_Almacenamiento_PT_V1.csv</w:t>
      </w:r>
      <w:r>
        <w:t xml:space="preserve">.</w:t>
      </w:r>
    </w:p>
    <w:bookmarkEnd w:id="14"/>
    <w:bookmarkStart w:id="15" w:name="criterios-de-control-y-aceptacion"/>
    <w:p>
      <w:pPr>
        <w:pStyle w:val="Heading2"/>
      </w:pPr>
      <w:r>
        <w:t xml:space="preserve">7. CRITERIOS DE CONTROL Y ACEPTACION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 empaque</w:t>
            </w:r>
          </w:p>
        </w:tc>
        <w:tc>
          <w:tcPr/>
          <w:p>
            <w:pPr>
              <w:pStyle w:val="Compact"/>
            </w:pPr>
            <w:r>
              <w:t xml:space="preserve">Sin rotura, humedad ni fuga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Identificacion</w:t>
            </w:r>
          </w:p>
        </w:tc>
        <w:tc>
          <w:tcPr/>
          <w:p>
            <w:pPr>
              <w:pStyle w:val="Compact"/>
            </w:pPr>
            <w:r>
              <w:t xml:space="preserve">Producto, lote, fecha y estado visibles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Condiciones de bodega</w:t>
            </w:r>
          </w:p>
        </w:tc>
        <w:tc>
          <w:tcPr/>
          <w:p>
            <w:pPr>
              <w:pStyle w:val="Compact"/>
            </w:pPr>
            <w:r>
              <w:t xml:space="preserve">Area limpia, seca y con pasillos libres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Rotacion</w:t>
            </w:r>
          </w:p>
        </w:tc>
        <w:tc>
          <w:tcPr/>
          <w:p>
            <w:pPr>
              <w:pStyle w:val="Compact"/>
            </w:pPr>
            <w:r>
              <w:t xml:space="preserve">FEFO aplicado en despacho</w:t>
            </w:r>
          </w:p>
        </w:tc>
      </w:tr>
    </w:tbl>
    <w:bookmarkEnd w:id="15"/>
    <w:bookmarkStart w:id="16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Formato_Control_Almacenamiento_PT_V1.csv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Registro_Almacenamiento_PT_V1.csv</w:t>
      </w:r>
    </w:p>
    <w:bookmarkEnd w:id="16"/>
    <w:bookmarkStart w:id="17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06"/>
        </w:numPr>
      </w:pPr>
      <w:r>
        <w:t xml:space="preserve">Anexo 1: Condiciones de almacenamiento de PT.</w:t>
      </w:r>
    </w:p>
    <w:p>
      <w:pPr>
        <w:pStyle w:val="Compact"/>
        <w:numPr>
          <w:ilvl w:val="0"/>
          <w:numId w:val="1006"/>
        </w:numPr>
      </w:pPr>
      <w:r>
        <w:t xml:space="preserve">Anexo 2: Matriz de compatibilidad de almacenamiento.</w:t>
      </w:r>
    </w:p>
    <w:bookmarkEnd w:id="17"/>
    <w:bookmarkStart w:id="18" w:name="control-de-cambios"/>
    <w:p>
      <w:pPr>
        <w:pStyle w:val="Heading2"/>
      </w:pPr>
      <w:r>
        <w:t xml:space="preserve">10.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Emision inicial homologada para almacenamiento PT.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