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608d4b22c1d7978bab6ec2856ee2439fedc1a0b"/>
    <w:p>
      <w:pPr>
        <w:pStyle w:val="Heading1"/>
      </w:pPr>
      <w:r>
        <w:t xml:space="preserve">PROCEDIMIENTO OPERATIVO ESTANDARIZADO: DISPOSICIÓN DE BARREDURAS Y RESIDUOS</w:t>
      </w:r>
    </w:p>
    <w:p>
      <w:pPr>
        <w:pStyle w:val="FirstParagraph"/>
      </w:pPr>
      <w:r>
        <w:t xml:space="preserve">CÓDIGO | VERSIÓN | VIGENCIA | PRÓXIMA REVISIÓN |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rPr>
          <w:b/>
          <w:bCs/>
        </w:rPr>
        <w:t xml:space="preserve">CGC-POE-3.18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01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2026-02-17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12 meses o ante cambio regulatorio</w:t>
      </w:r>
      <w:r>
        <w:t xml:space="preserve"> </w:t>
      </w:r>
      <w:r>
        <w:t xml:space="preserve">|</w:t>
      </w:r>
    </w:p>
    <w:p>
      <w:r>
        <w:pict>
          <v:rect style="width:0;height:1.5pt" o:hralign="center" o:hrstd="t" o:hr="t"/>
        </w:pict>
      </w:r>
    </w:p>
    <w:bookmarkStart w:id="9" w:name="objetivo"/>
    <w:p>
      <w:pPr>
        <w:pStyle w:val="Heading2"/>
      </w:pPr>
      <w:r>
        <w:t xml:space="preserve">1. OBJETIVO</w:t>
      </w:r>
    </w:p>
    <w:p>
      <w:pPr>
        <w:pStyle w:val="FirstParagraph"/>
      </w:pPr>
      <w:r>
        <w:t xml:space="preserve">Establecer la metodología para la recolección, segregación, almacenamiento temporal y disposición final de barreduras y residuos sólidos/líquidos generados en las áreas de producción, envase y almacenamiento, garantizando su correcta clasificación y evitando la contaminación cruzada o reutilización indebida.</w:t>
      </w:r>
    </w:p>
    <w:bookmarkEnd w:id="9"/>
    <w:bookmarkStart w:id="10" w:name="alcance"/>
    <w:p>
      <w:pPr>
        <w:pStyle w:val="Heading2"/>
      </w:pPr>
      <w:r>
        <w:t xml:space="preserve">2. ALCANCE</w:t>
      </w:r>
    </w:p>
    <w:p>
      <w:pPr>
        <w:pStyle w:val="FirstParagraph"/>
      </w:pPr>
      <w:r>
        <w:t xml:space="preserve">Aplica a todas las áreas operativas de la planta: Producción, Envase, Almacén de MP, Almacén de PT y Zona de Despachos.</w:t>
      </w:r>
    </w:p>
    <w:bookmarkEnd w:id="10"/>
    <w:bookmarkStart w:id="11" w:name="definiciones"/>
    <w:p>
      <w:pPr>
        <w:pStyle w:val="Heading2"/>
      </w:pPr>
      <w:r>
        <w:t xml:space="preserve">3. DEFINICIONES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Barredura:</w:t>
      </w:r>
      <w:r>
        <w:t xml:space="preserve"> </w:t>
      </w:r>
      <w:r>
        <w:t xml:space="preserve">Material particulado (polvo, finos, residuos de limpieza) recolectado del piso, equipos o superficies.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Residuo Sólido No Peligroso:</w:t>
      </w:r>
      <w:r>
        <w:t xml:space="preserve"> </w:t>
      </w:r>
      <w:r>
        <w:t xml:space="preserve">Material de desecho sin características de peligrosidad.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Residuo Líquido:</w:t>
      </w:r>
      <w:r>
        <w:t xml:space="preserve"> </w:t>
      </w:r>
      <w:r>
        <w:t xml:space="preserve">Aguas de lavado de equipos, condensados, derrames menores contenidos.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Gestor Autorizado:</w:t>
      </w:r>
      <w:r>
        <w:t xml:space="preserve"> </w:t>
      </w:r>
      <w:r>
        <w:t xml:space="preserve">Empresa terceros con licencia ambiental para transporte y disposición final.</w:t>
      </w:r>
    </w:p>
    <w:bookmarkEnd w:id="11"/>
    <w:bookmarkStart w:id="12" w:name="documentos-de-referencia"/>
    <w:p>
      <w:pPr>
        <w:pStyle w:val="Heading2"/>
      </w:pPr>
      <w:r>
        <w:t xml:space="preserve">4. DOCUMENTOS DE REFERENCIA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Resolución ICA pv0 (Propuesta):</w:t>
      </w:r>
      <w:r>
        <w:t xml:space="preserve"> </w:t>
      </w:r>
      <w:r>
        <w:t xml:space="preserve">Anexo I-B, Pilar 10</w:t>
      </w:r>
      <w:r>
        <w:t xml:space="preserve"> </w:t>
      </w:r>
      <w:r>
        <w:t xml:space="preserve">“Manejo de Residuos/Barreduras”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Decreto 1076 de 2015:</w:t>
      </w:r>
      <w:r>
        <w:t xml:space="preserve"> </w:t>
      </w:r>
      <w:r>
        <w:t xml:space="preserve">Gestión de residuos sólidos.</w:t>
      </w:r>
    </w:p>
    <w:bookmarkEnd w:id="12"/>
    <w:bookmarkStart w:id="13" w:name="consideraciones-gmp"/>
    <w:p>
      <w:pPr>
        <w:pStyle w:val="Heading2"/>
      </w:pPr>
      <w:r>
        <w:t xml:space="preserve">4.1. CONSIDERACIONES GMP</w:t>
      </w:r>
    </w:p>
    <w:p>
      <w:pPr>
        <w:pStyle w:val="FirstParagraph"/>
      </w:pPr>
      <w:r>
        <w:rPr>
          <w:b/>
          <w:bCs/>
        </w:rPr>
        <w:t xml:space="preserve">SE PROHÍBE EXPRESAMENTE</w:t>
      </w:r>
      <w:r>
        <w:t xml:space="preserve"> </w:t>
      </w:r>
      <w:r>
        <w:t xml:space="preserve">la reincorporación de barreduras o residuos al proceso productivo de Fertilizantes o Acondicionadores destinados a comercialización. Esta es una regla crítica de cumplimiento. El incumplimiento constituye una No Conformidad Crítica y puede generar sanciones legales severas por fraude al consumidor.</w:t>
      </w:r>
    </w:p>
    <w:bookmarkEnd w:id="13"/>
    <w:bookmarkStart w:id="18" w:name="X89142c71e170216e29a3051bfe72221f0d57b2b"/>
    <w:p>
      <w:pPr>
        <w:pStyle w:val="Heading2"/>
      </w:pPr>
      <w:r>
        <w:t xml:space="preserve">5. RESPONSABILIDADES Y POLÍTICAS (Estilo Opus)</w:t>
      </w:r>
    </w:p>
    <w:bookmarkStart w:id="14" w:name="jefe-de-producción"/>
    <w:p>
      <w:pPr>
        <w:pStyle w:val="Heading3"/>
      </w:pPr>
      <w:r>
        <w:t xml:space="preserve">5.1. Jefe de Producción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Debe</w:t>
      </w:r>
      <w:r>
        <w:t xml:space="preserve"> </w:t>
      </w:r>
      <w:r>
        <w:t xml:space="preserve">asegurar que los contenedores de residuos estén identificados y disponibles en cada área.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 responsable</w:t>
      </w:r>
      <w:r>
        <w:t xml:space="preserve"> </w:t>
      </w:r>
      <w:r>
        <w:t xml:space="preserve">de la cuantificación exacta (peso real, no</w:t>
      </w:r>
      <w:r>
        <w:t xml:space="preserve"> </w:t>
      </w:r>
      <w:r>
        <w:t xml:space="preserve">“aproximado”</w:t>
      </w:r>
      <w:r>
        <w:t xml:space="preserve">) de las barreduras generadas.</w:t>
      </w:r>
    </w:p>
    <w:bookmarkEnd w:id="14"/>
    <w:bookmarkStart w:id="15" w:name="operarios-de-limpieza"/>
    <w:p>
      <w:pPr>
        <w:pStyle w:val="Heading3"/>
      </w:pPr>
      <w:r>
        <w:t xml:space="preserve">5.2. Operarios de Limpieza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Deben</w:t>
      </w:r>
      <w:r>
        <w:t xml:space="preserve"> </w:t>
      </w:r>
      <w:r>
        <w:t xml:space="preserve">segregar los residuos en los contenedores correctos según la clasificación del Anexo 1.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 prohíbe</w:t>
      </w:r>
      <w:r>
        <w:t xml:space="preserve"> </w:t>
      </w:r>
      <w:r>
        <w:t xml:space="preserve">mezclar residuos de diferente origen en el mismo contenedor.</w:t>
      </w:r>
    </w:p>
    <w:bookmarkEnd w:id="15"/>
    <w:bookmarkStart w:id="16" w:name="responsable-ambiental"/>
    <w:p>
      <w:pPr>
        <w:pStyle w:val="Heading3"/>
      </w:pPr>
      <w:r>
        <w:t xml:space="preserve">5.3. Responsable Ambiental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Debe</w:t>
      </w:r>
      <w:r>
        <w:t xml:space="preserve"> </w:t>
      </w:r>
      <w:r>
        <w:t xml:space="preserve">coordinar la disposición final con el gestor autorizado y archivar los certificados de disposición.</w:t>
      </w:r>
    </w:p>
    <w:bookmarkEnd w:id="16"/>
    <w:bookmarkStart w:id="17" w:name="control-de-calidad"/>
    <w:p>
      <w:pPr>
        <w:pStyle w:val="Heading3"/>
      </w:pPr>
      <w:r>
        <w:t xml:space="preserve">5.4. Control de Calidad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Debe</w:t>
      </w:r>
      <w:r>
        <w:t xml:space="preserve"> </w:t>
      </w:r>
      <w:r>
        <w:t xml:space="preserve">auditar mensualmente que no exista reincorporación de residuos al producto comercial.</w:t>
      </w:r>
    </w:p>
    <w:bookmarkEnd w:id="17"/>
    <w:bookmarkEnd w:id="18"/>
    <w:bookmarkStart w:id="23" w:name="procedimiento-estilo-glm-4.7"/>
    <w:p>
      <w:pPr>
        <w:pStyle w:val="Heading2"/>
      </w:pPr>
      <w:r>
        <w:t xml:space="preserve">6. PROCEDIMIENTO (Estilo GLM-4.7)</w:t>
      </w:r>
    </w:p>
    <w:bookmarkStart w:id="19" w:name="generación-y-segregación"/>
    <w:p>
      <w:pPr>
        <w:pStyle w:val="Heading3"/>
      </w:pPr>
      <w:r>
        <w:t xml:space="preserve">6.1. Generación y Segregación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OPERARIO:</w:t>
      </w:r>
      <w:r>
        <w:t xml:space="preserve"> </w:t>
      </w:r>
      <w:r>
        <w:rPr>
          <w:b/>
          <w:bCs/>
        </w:rPr>
        <w:t xml:space="preserve">Recolectar</w:t>
      </w:r>
      <w:r>
        <w:t xml:space="preserve"> </w:t>
      </w:r>
      <w:r>
        <w:t xml:space="preserve">barreduras y residuos durante la limpieza rutinaria al final de cada turno.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OPERARIO:</w:t>
      </w:r>
      <w:r>
        <w:t xml:space="preserve"> </w:t>
      </w:r>
      <w:r>
        <w:rPr>
          <w:b/>
          <w:bCs/>
        </w:rPr>
        <w:t xml:space="preserve">Segregar</w:t>
      </w:r>
      <w:r>
        <w:t xml:space="preserve"> </w:t>
      </w:r>
      <w:r>
        <w:t xml:space="preserve">en contenedores rotulados:</w:t>
      </w:r>
    </w:p>
    <w:p>
      <w:pPr>
        <w:pStyle w:val="Compact"/>
        <w:numPr>
          <w:ilvl w:val="1"/>
          <w:numId w:val="1008"/>
        </w:numPr>
      </w:pPr>
      <w:r>
        <w:t xml:space="preserve">Contenedor A: Barreduras de Área de Producción (polvo de materia prima).</w:t>
      </w:r>
    </w:p>
    <w:p>
      <w:pPr>
        <w:pStyle w:val="Compact"/>
        <w:numPr>
          <w:ilvl w:val="1"/>
          <w:numId w:val="1008"/>
        </w:numPr>
      </w:pPr>
      <w:r>
        <w:t xml:space="preserve">Contenedor B: Residuos de Envase (sacos rotos, etiquetas defectuosas).</w:t>
      </w:r>
    </w:p>
    <w:p>
      <w:pPr>
        <w:pStyle w:val="Compact"/>
        <w:numPr>
          <w:ilvl w:val="1"/>
          <w:numId w:val="1008"/>
        </w:numPr>
      </w:pPr>
      <w:r>
        <w:t xml:space="preserve">Contenedor C: Residuos de Limpieza (trapos, material absorbente).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OPERARIO:</w:t>
      </w:r>
      <w:r>
        <w:t xml:space="preserve"> </w:t>
      </w:r>
      <w:r>
        <w:rPr>
          <w:b/>
          <w:bCs/>
        </w:rPr>
        <w:t xml:space="preserve">Pesar</w:t>
      </w:r>
      <w:r>
        <w:t xml:space="preserve"> </w:t>
      </w:r>
      <w:r>
        <w:t xml:space="preserve">el contenido de cada contenedor y</w:t>
      </w:r>
      <w:r>
        <w:t xml:space="preserve"> </w:t>
      </w:r>
      <w:r>
        <w:rPr>
          <w:b/>
          <w:bCs/>
        </w:rPr>
        <w:t xml:space="preserve">registrar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Registro_Disposicion_Residuos_V1.csv</w:t>
      </w:r>
      <w:r>
        <w:t xml:space="preserve"> </w:t>
      </w:r>
      <w:r>
        <w:t xml:space="preserve">(Fecha, Área, Tipo, Peso kg).</w:t>
      </w:r>
    </w:p>
    <w:bookmarkEnd w:id="19"/>
    <w:bookmarkStart w:id="20" w:name="almacenamiento-temporal"/>
    <w:p>
      <w:pPr>
        <w:pStyle w:val="Heading3"/>
      </w:pPr>
      <w:r>
        <w:t xml:space="preserve">6.2. Almacenamiento Temporal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OPERARIO:</w:t>
      </w:r>
      <w:r>
        <w:t xml:space="preserve"> </w:t>
      </w:r>
      <w:r>
        <w:rPr>
          <w:b/>
          <w:bCs/>
        </w:rPr>
        <w:t xml:space="preserve">Trasladar</w:t>
      </w:r>
      <w:r>
        <w:t xml:space="preserve"> </w:t>
      </w:r>
      <w:r>
        <w:t xml:space="preserve">los contenedores sellados al área de almacenamiento temporal de residuos (Zona Techada).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PRODUCCIÓN:</w:t>
      </w:r>
      <w:r>
        <w:t xml:space="preserve"> </w:t>
      </w:r>
      <w:r>
        <w:rPr>
          <w:b/>
          <w:bCs/>
        </w:rPr>
        <w:t xml:space="preserve">No almacenar</w:t>
      </w:r>
      <w:r>
        <w:t xml:space="preserve"> </w:t>
      </w:r>
      <w:r>
        <w:t xml:space="preserve">más de</w:t>
      </w:r>
      <w:r>
        <w:t xml:space="preserve"> </w:t>
      </w:r>
      <w:r>
        <w:rPr>
          <w:b/>
          <w:bCs/>
        </w:rPr>
        <w:t xml:space="preserve">48 horas</w:t>
      </w:r>
      <w:r>
        <w:t xml:space="preserve">. Acumulo prolongado genera riesgo sanitario y de contaminación.</w:t>
      </w:r>
    </w:p>
    <w:bookmarkEnd w:id="20"/>
    <w:bookmarkStart w:id="21" w:name="residuos-líquidos-lavados"/>
    <w:p>
      <w:pPr>
        <w:pStyle w:val="Heading3"/>
      </w:pPr>
      <w:r>
        <w:t xml:space="preserve">6.3. Residuos Líquidos (Lavados)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OPERARIO:</w:t>
      </w:r>
      <w:r>
        <w:t xml:space="preserve"> </w:t>
      </w:r>
      <w:r>
        <w:rPr>
          <w:b/>
          <w:bCs/>
        </w:rPr>
        <w:t xml:space="preserve">Recolectar</w:t>
      </w:r>
      <w:r>
        <w:t xml:space="preserve"> </w:t>
      </w:r>
      <w:r>
        <w:t xml:space="preserve">las aguas de lavado en trampa de sólidos antes de verter al sistema de drenaje (si aplica).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OPERARIO:</w:t>
      </w:r>
      <w:r>
        <w:t xml:space="preserve"> </w:t>
      </w:r>
      <w:r>
        <w:rPr>
          <w:b/>
          <w:bCs/>
        </w:rPr>
        <w:t xml:space="preserve">No verter</w:t>
      </w:r>
      <w:r>
        <w:t xml:space="preserve"> </w:t>
      </w:r>
      <w:r>
        <w:t xml:space="preserve">residuos químicos al drenaje sin tratamiento previo.</w:t>
      </w:r>
    </w:p>
    <w:bookmarkEnd w:id="21"/>
    <w:bookmarkStart w:id="22" w:name="disposición-final"/>
    <w:p>
      <w:pPr>
        <w:pStyle w:val="Heading3"/>
      </w:pPr>
      <w:r>
        <w:t xml:space="preserve">6.4. Disposición Final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GESTIÓN AMBIENTAL:</w:t>
      </w:r>
      <w:r>
        <w:t xml:space="preserve"> </w:t>
      </w:r>
      <w:r>
        <w:rPr>
          <w:b/>
          <w:bCs/>
        </w:rPr>
        <w:t xml:space="preserve">Coordinar</w:t>
      </w:r>
      <w:r>
        <w:t xml:space="preserve"> </w:t>
      </w:r>
      <w:r>
        <w:t xml:space="preserve">el retiro de residuos al gestor autorizado cada semana o cuando los contenedores alcancen el 80% de capacidad.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GESTIÓN AMBIENTAL:</w:t>
      </w:r>
      <w:r>
        <w:t xml:space="preserve"> </w:t>
      </w:r>
      <w:r>
        <w:rPr>
          <w:b/>
          <w:bCs/>
        </w:rPr>
        <w:t xml:space="preserve">Exigir</w:t>
      </w:r>
      <w:r>
        <w:t xml:space="preserve"> </w:t>
      </w:r>
      <w:r>
        <w:t xml:space="preserve">y archivar el Certificado de Disposición Final (Remisión, Factura o Certificado).</w:t>
      </w:r>
    </w:p>
    <w:bookmarkEnd w:id="22"/>
    <w:bookmarkEnd w:id="23"/>
    <w:bookmarkStart w:id="24" w:name="criterios-de-control"/>
    <w:p>
      <w:pPr>
        <w:pStyle w:val="Heading2"/>
      </w:pPr>
      <w:r>
        <w:t xml:space="preserve">7. CRITERIOS DE CONTROL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Hallazgo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Reincorporación de barredura a producto comercial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Investigar, aislar producto, reportar a ICA.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Ausencia de evidencia de disposición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Abrir NC, gestionar evidencia faltante.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Mezcla de residuos incompatibles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Re-clasificar y capacitar personal.</w:t>
            </w:r>
          </w:p>
        </w:tc>
      </w:tr>
    </w:tbl>
    <w:bookmarkEnd w:id="24"/>
    <w:bookmarkStart w:id="25" w:name="registros-asociados"/>
    <w:p>
      <w:pPr>
        <w:pStyle w:val="Heading2"/>
      </w:pPr>
      <w:r>
        <w:t xml:space="preserve">8. REGISTROS ASOCIADOS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Formato_Control_Disposicion_Residuos_V1.csv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Registro_Disposicion_Residuos_V1.csv</w:t>
      </w:r>
    </w:p>
    <w:bookmarkEnd w:id="25"/>
    <w:bookmarkStart w:id="26" w:name="anexos"/>
    <w:p>
      <w:pPr>
        <w:pStyle w:val="Heading2"/>
      </w:pPr>
      <w:r>
        <w:t xml:space="preserve">9. ANEXOS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Anexo 1:</w:t>
      </w:r>
      <w:r>
        <w:t xml:space="preserve"> </w:t>
      </w:r>
      <w:r>
        <w:t xml:space="preserve">Clasificación de Residuos por Origen.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Anexo 2:</w:t>
      </w:r>
      <w:r>
        <w:t xml:space="preserve"> </w:t>
      </w:r>
      <w:r>
        <w:t xml:space="preserve">Lista de Gestores Autorizados.</w:t>
      </w:r>
    </w:p>
    <w:bookmarkEnd w:id="26"/>
    <w:bookmarkStart w:id="27" w:name="control-de-cambios"/>
    <w:p>
      <w:pPr>
        <w:pStyle w:val="Heading2"/>
      </w:pPr>
      <w:r>
        <w:t xml:space="preserve">10. CONTROL DE CAMBIOS</w:t>
      </w:r>
    </w:p>
    <w:p>
      <w:pPr>
        <w:pStyle w:val="FirstParagraph"/>
      </w:pPr>
      <w:r>
        <w:t xml:space="preserve">Versión | Fecha | Descripción |</w:t>
      </w:r>
      <w:r>
        <w:br/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0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1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2026-02-18T10:33:51Z</dcterms:created>
  <dcterms:modified xsi:type="dcterms:W3CDTF">2026-02-18T10:33:51Z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