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2cbfe0f09e2f62ceea5f2d254bb4f447a927ea2"/>
    <w:p>
      <w:pPr>
        <w:pStyle w:val="Heading1"/>
      </w:pPr>
      <w:r>
        <w:t xml:space="preserve">ANEXO 1 - POE 3.19: FLUJO DE APROBACIÓN DE FORMULACIONES TERCEROS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POE ASOCIADO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VERSIÓN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CGC-POE-3.19-ANX-01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CGC-POE-3.19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01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flujo-de-aprobación"/>
    <w:p>
      <w:pPr>
        <w:pStyle w:val="Heading2"/>
      </w:pPr>
      <w:r>
        <w:t xml:space="preserve">Flujo de Aprobación</w:t>
      </w:r>
    </w:p>
    <w:p>
      <w:pPr>
        <w:pStyle w:val="SourceCode"/>
      </w:pPr>
      <w:r>
        <w:rPr>
          <w:rStyle w:val="VerbatimChar"/>
        </w:rPr>
        <w:t xml:space="preserve">INICIO: Solicitud de Tercero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[1] ¿Formulación propuesta completa y técnica?</w:t>
      </w:r>
      <w:r>
        <w:br/>
      </w:r>
      <w:r>
        <w:rPr>
          <w:rStyle w:val="VerbatimChar"/>
        </w:rPr>
        <w:t xml:space="preserve">    ├── NO → Solicitar aclaraciones o completar datos al Cliente.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SÍ</w:t>
      </w:r>
      <w:r>
        <w:br/>
      </w:r>
      <w:r>
        <w:rPr>
          <w:rStyle w:val="VerbatimChar"/>
        </w:rPr>
        <w:t xml:space="preserve">[2] ¿Cliente tiene contrato comercial vigente y NDA firmado?</w:t>
      </w:r>
      <w:r>
        <w:br/>
      </w:r>
      <w:r>
        <w:rPr>
          <w:rStyle w:val="VerbatimChar"/>
        </w:rPr>
        <w:t xml:space="preserve">    ├── NO → Detener proceso hasta formalización legal (Comercial).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SÍ</w:t>
      </w:r>
      <w:r>
        <w:br/>
      </w:r>
      <w:r>
        <w:rPr>
          <w:rStyle w:val="VerbatimChar"/>
        </w:rPr>
        <w:t xml:space="preserve">[3] ¿Formulación cumple viabilidad técnica/regulatoria? (Dirección Técnica)</w:t>
      </w:r>
      <w:r>
        <w:br/>
      </w:r>
      <w:r>
        <w:rPr>
          <w:rStyle w:val="VerbatimChar"/>
        </w:rPr>
        <w:t xml:space="preserve">    *   Ingredientes permitidos.</w:t>
      </w:r>
      <w:r>
        <w:br/>
      </w:r>
      <w:r>
        <w:rPr>
          <w:rStyle w:val="VerbatimChar"/>
        </w:rPr>
        <w:t xml:space="preserve">    *   No exceden límites metales pesados.</w:t>
      </w:r>
      <w:r>
        <w:br/>
      </w:r>
      <w:r>
        <w:rPr>
          <w:rStyle w:val="VerbatimChar"/>
        </w:rPr>
        <w:t xml:space="preserve">    *   Compatibilidad química y física.</w:t>
      </w:r>
      <w:r>
        <w:br/>
      </w:r>
      <w:r>
        <w:rPr>
          <w:rStyle w:val="VerbatimChar"/>
        </w:rPr>
        <w:t xml:space="preserve">    *   Equipo de planta disponible.</w:t>
      </w:r>
      <w:r>
        <w:br/>
      </w:r>
      <w:r>
        <w:rPr>
          <w:rStyle w:val="VerbatimChar"/>
        </w:rPr>
        <w:t xml:space="preserve">    ├── NO → Rechazar solicitud o proponer ajuste. Notificar Cliente.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SÍ</w:t>
      </w:r>
      <w:r>
        <w:br/>
      </w:r>
      <w:r>
        <w:rPr>
          <w:rStyle w:val="VerbatimChar"/>
        </w:rPr>
        <w:t xml:space="preserve">[4] ¿Prueba piloto necesaria?</w:t>
      </w:r>
      <w:r>
        <w:br/>
      </w:r>
      <w:r>
        <w:rPr>
          <w:rStyle w:val="VerbatimChar"/>
        </w:rPr>
        <w:t xml:space="preserve">    ├── SÍ → Programar y ejecutar lote piloto (Producción + Calidad).</w:t>
      </w:r>
      <w:r>
        <w:br/>
      </w:r>
      <w:r>
        <w:rPr>
          <w:rStyle w:val="VerbatimChar"/>
        </w:rPr>
        <w:t xml:space="preserve">    │   └── ¿Resultado piloto satisfactorio?</w:t>
      </w:r>
      <w:r>
        <w:br/>
      </w:r>
      <w:r>
        <w:rPr>
          <w:rStyle w:val="VerbatimChar"/>
        </w:rPr>
        <w:t xml:space="preserve">    │       ├── NO → Ajustar formulación. Repetir piloto (máx 2 veces).</w:t>
      </w:r>
      <w:r>
        <w:br/>
      </w:r>
      <w:r>
        <w:rPr>
          <w:rStyle w:val="VerbatimChar"/>
        </w:rPr>
        <w:t xml:space="preserve">    │       │   └── Si falla → Cancelar proyecto.</w:t>
      </w:r>
      <w:r>
        <w:br/>
      </w:r>
      <w:r>
        <w:rPr>
          <w:rStyle w:val="VerbatimChar"/>
        </w:rPr>
        <w:t xml:space="preserve">    │       └── SÍ → Continuar.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NO (Si es repetición o estándar conocido)</w:t>
      </w:r>
      <w:r>
        <w:br/>
      </w:r>
      <w:r>
        <w:rPr>
          <w:rStyle w:val="VerbatimChar"/>
        </w:rPr>
        <w:t xml:space="preserve">[5] ¿Registro ICA y etiqueta aprobada existen?</w:t>
      </w:r>
      <w:r>
        <w:br/>
      </w:r>
      <w:r>
        <w:rPr>
          <w:rStyle w:val="VerbatimChar"/>
        </w:rPr>
        <w:t xml:space="preserve">    ├── NO → Gestionar Registro ICA (Cliente o CALFERQUIM).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SÍ</w:t>
      </w:r>
      <w:r>
        <w:br/>
      </w:r>
      <w:r>
        <w:rPr>
          <w:rStyle w:val="VerbatimChar"/>
        </w:rPr>
        <w:t xml:space="preserve">[6] APROBACIÓN FINAL - Dirección Técnica</w:t>
      </w:r>
      <w:r>
        <w:br/>
      </w:r>
      <w:r>
        <w:rPr>
          <w:rStyle w:val="VerbatimChar"/>
        </w:rPr>
        <w:t xml:space="preserve">    *   Firma de Formulación Maestra Controlada.</w:t>
      </w:r>
      <w:r>
        <w:br/>
      </w:r>
      <w:r>
        <w:rPr>
          <w:rStyle w:val="VerbatimChar"/>
        </w:rPr>
        <w:t xml:space="preserve">    *   Asignación de Código Interno de Producto.</w:t>
      </w:r>
      <w:r>
        <w:br/>
      </w:r>
      <w:r>
        <w:rPr>
          <w:rStyle w:val="VerbatimChar"/>
        </w:rPr>
        <w:t xml:space="preserve">    *   Creación de especificaciones de calidad y proceso.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    FIN: Producto listo para programar producción.</w:t>
      </w:r>
    </w:p>
    <w:bookmarkEnd w:id="9"/>
    <w:bookmarkStart w:id="10" w:name="tiempos-estimados"/>
    <w:p>
      <w:pPr>
        <w:pStyle w:val="Heading2"/>
      </w:pPr>
      <w:r>
        <w:t xml:space="preserve">Tiempos Estimados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TIEMPO ESTÁNDAR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Evaluación técnica inicial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días hábiles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Dirección Técnica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piloto (si aplica)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5-10 días hábiles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Producción / Calidad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Registro ICA (si aplica)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3-6 meses (variable 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Asuntos Regulatorios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Aprobación final y codificación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días hábiles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Dirección Técnica</w:t>
            </w:r>
          </w:p>
        </w:tc>
      </w:tr>
    </w:tbl>
    <w:bookmarkEnd w:id="10"/>
    <w:bookmarkStart w:id="11" w:name="documentos-generados"/>
    <w:p>
      <w:pPr>
        <w:pStyle w:val="Heading2"/>
      </w:pPr>
      <w:r>
        <w:t xml:space="preserve">Documentos Generados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Formulación Maestra Controlada:</w:t>
      </w:r>
      <w:r>
        <w:t xml:space="preserve"> </w:t>
      </w:r>
      <w:r>
        <w:t xml:space="preserve">Documento oficial de producción.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Especificación de Producto Terminado:</w:t>
      </w:r>
      <w:r>
        <w:t xml:space="preserve"> </w:t>
      </w:r>
      <w:r>
        <w:t xml:space="preserve">Criterios de calidad para liberación.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Hoja de Seguridad (FDS):</w:t>
      </w:r>
      <w:r>
        <w:t xml:space="preserve"> </w:t>
      </w:r>
      <w:r>
        <w:t xml:space="preserve">Si el producto es nuevo, debe generarse.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Etiqueta Aprobada:</w:t>
      </w:r>
      <w:r>
        <w:t xml:space="preserve"> </w:t>
      </w:r>
      <w:r>
        <w:t xml:space="preserve">Arte final con Registro ICA.</w:t>
      </w:r>
    </w:p>
    <w:p>
      <w:pPr>
        <w:pStyle w:val="BlockText"/>
      </w:pPr>
      <w:r>
        <w:rPr>
          <w:b/>
          <w:bCs/>
        </w:rPr>
        <w:t xml:space="preserve">Regla:</w:t>
      </w:r>
      <w:r>
        <w:t xml:space="preserve"> </w:t>
      </w:r>
      <w:r>
        <w:t xml:space="preserve">Ningún cambio en la formulación, por mínimo que sea, puede implementarse en planta sin reiniciar este flujo desde el paso [3] (Evaluación técnica).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2026-02-18T10:33:53Z</dcterms:created>
  <dcterms:modified xsi:type="dcterms:W3CDTF">2026-02-18T10:33:53Z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