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hecklist-de-evidencia-por-proceso-3.x"/>
    <w:p>
      <w:pPr>
        <w:pStyle w:val="Heading1"/>
      </w:pPr>
      <w:r>
        <w:t xml:space="preserve">Checklist de Evidencia por Proceso (3.x)</w:t>
      </w:r>
    </w:p>
    <w:p>
      <w:pPr>
        <w:pStyle w:val="FirstParagraph"/>
      </w:pPr>
      <w:r>
        <w:t xml:space="preserve">Marcar un check por cada item con soporte cargado.</w:t>
      </w:r>
    </w:p>
    <w:bookmarkStart w:id="9" w:name="datos-del-lote"/>
    <w:p>
      <w:pPr>
        <w:pStyle w:val="Heading2"/>
      </w:pPr>
      <w:r>
        <w:t xml:space="preserve">Datos del lote</w:t>
      </w:r>
    </w:p>
    <w:p>
      <w:pPr>
        <w:pStyle w:val="Compact"/>
        <w:numPr>
          <w:ilvl w:val="0"/>
          <w:numId w:val="1001"/>
        </w:numPr>
      </w:pPr>
      <w:r>
        <w:t xml:space="preserve">Fecha:</w:t>
      </w:r>
    </w:p>
    <w:p>
      <w:pPr>
        <w:pStyle w:val="Compact"/>
        <w:numPr>
          <w:ilvl w:val="0"/>
          <w:numId w:val="1001"/>
        </w:numPr>
      </w:pPr>
      <w:r>
        <w:t xml:space="preserve">Lote:</w:t>
      </w:r>
    </w:p>
    <w:p>
      <w:pPr>
        <w:pStyle w:val="Compact"/>
        <w:numPr>
          <w:ilvl w:val="0"/>
          <w:numId w:val="1001"/>
        </w:numPr>
      </w:pPr>
      <w:r>
        <w:t xml:space="preserve">Producto:</w:t>
      </w:r>
    </w:p>
    <w:p>
      <w:pPr>
        <w:pStyle w:val="Compact"/>
        <w:numPr>
          <w:ilvl w:val="0"/>
          <w:numId w:val="1001"/>
        </w:numPr>
      </w:pPr>
      <w:r>
        <w:t xml:space="preserve">Responsable: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2"/>
        </w:numPr>
      </w:pPr>
      <w:r>
        <w:t xml:space="preserve">POE correcto identificado (codigo 3.x)</w:t>
      </w:r>
    </w:p>
    <w:p>
      <w:pPr>
        <w:pStyle w:val="Compact"/>
        <w:numPr>
          <w:ilvl w:val="0"/>
          <w:numId w:val="1003"/>
        </w:numPr>
      </w:pPr>
      <w:r>
        <w:t xml:space="preserve">Formato CSV diligenciado</w:t>
      </w:r>
    </w:p>
    <w:p>
      <w:pPr>
        <w:pStyle w:val="Compact"/>
        <w:numPr>
          <w:ilvl w:val="0"/>
          <w:numId w:val="1004"/>
        </w:numPr>
      </w:pPr>
      <w:r>
        <w:t xml:space="preserve">Registro CSV diligenciado</w:t>
      </w:r>
    </w:p>
    <w:p>
      <w:pPr>
        <w:pStyle w:val="Compact"/>
        <w:numPr>
          <w:ilvl w:val="0"/>
          <w:numId w:val="1005"/>
        </w:numPr>
      </w:pPr>
      <w:r>
        <w:t xml:space="preserve">Criterios de control verificados</w:t>
      </w:r>
    </w:p>
    <w:p>
      <w:pPr>
        <w:pStyle w:val="Compact"/>
        <w:numPr>
          <w:ilvl w:val="0"/>
          <w:numId w:val="1006"/>
        </w:numPr>
      </w:pPr>
      <w:r>
        <w:t xml:space="preserve">Resultado documentado (Conforme/No Conforme)</w:t>
      </w:r>
    </w:p>
    <w:p>
      <w:pPr>
        <w:pStyle w:val="Compact"/>
        <w:numPr>
          <w:ilvl w:val="0"/>
          <w:numId w:val="1007"/>
        </w:numPr>
      </w:pPr>
      <w:r>
        <w:t xml:space="preserve">Evidencia de decision de Calidad</w:t>
      </w:r>
    </w:p>
    <w:p>
      <w:pPr>
        <w:pStyle w:val="Compact"/>
        <w:numPr>
          <w:ilvl w:val="0"/>
          <w:numId w:val="1008"/>
        </w:numPr>
      </w:pPr>
      <w:r>
        <w:t xml:space="preserve">Firmas internas completadas</w:t>
      </w:r>
    </w:p>
    <w:bookmarkEnd w:id="10"/>
    <w:bookmarkStart w:id="11" w:name="observaciones"/>
    <w:p>
      <w:pPr>
        <w:pStyle w:val="Heading2"/>
      </w:pPr>
      <w:r>
        <w:t xml:space="preserve">Observaciones</w:t>
      </w:r>
    </w:p>
    <w:bookmarkEnd w:id="11"/>
    <w:bookmarkStart w:id="12" w:name="rutas-de-soporte"/>
    <w:p>
      <w:pPr>
        <w:pStyle w:val="Heading2"/>
      </w:pPr>
      <w:r>
        <w:t xml:space="preserve">Rutas de soporte</w:t>
      </w:r>
    </w:p>
    <w:p>
      <w:pPr>
        <w:pStyle w:val="Compact"/>
        <w:numPr>
          <w:ilvl w:val="0"/>
          <w:numId w:val="1009"/>
        </w:numPr>
      </w:pPr>
      <w:r>
        <w:t xml:space="preserve">Formato:</w:t>
      </w:r>
    </w:p>
    <w:p>
      <w:pPr>
        <w:pStyle w:val="Compact"/>
        <w:numPr>
          <w:ilvl w:val="0"/>
          <w:numId w:val="1009"/>
        </w:numPr>
      </w:pPr>
      <w:r>
        <w:t xml:space="preserve">Registro:</w:t>
      </w:r>
    </w:p>
    <w:p>
      <w:pPr>
        <w:pStyle w:val="Compact"/>
        <w:numPr>
          <w:ilvl w:val="0"/>
          <w:numId w:val="1009"/>
        </w:numPr>
      </w:pPr>
      <w:r>
        <w:t xml:space="preserve">Evidencia adicional: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2026-02-18T10:37:15Z</dcterms:created>
  <dcterms:modified xsi:type="dcterms:W3CDTF">2026-02-18T10:37:15Z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