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Recorrido visual de la interfaz vigente</w:t>
      </w:r>
    </w:p>
    <w:p>
      <w:pPr>
        <w:pStyle w:val="Subtitle"/>
      </w:pPr>
      <w:r>
        <w:t xml:space="preserve">Entregable E05 — Prototipo e interfaz</w:t>
      </w:r>
    </w:p>
    <w:p>
      <w:pPr>
        <w:pStyle w:val="Date"/>
      </w:pPr>
      <w:r>
        <w:t xml:space="preserve">2026-07-14</w:t>
      </w:r>
    </w:p>
    <w:bookmarkStart w:id="9" w:name="ficha-de-control-documental"/>
    <w:p>
      <w:pPr>
        <w:pStyle w:val="Heading1"/>
      </w:pPr>
      <w:r>
        <w:t xml:space="preserve">Ficha de control documental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DOC-E05-USR-01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Fuente controlada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05_prototipo_ui/md/wireframes.md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Autoridad funcional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app.R</w:t>
            </w:r>
            <w:r>
              <w:t xml:space="preserve"> </w:t>
            </w:r>
            <w:r>
              <w:t xml:space="preserve">del repositorio raíz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05_prototipo_ui/wireframes.docx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html/recorrido_interfaz.html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Elaboración</w:t>
            </w:r>
          </w:p>
        </w:tc>
        <w:tc>
          <w:tcPr/>
          <w:p>
            <w:pPr>
              <w:pStyle w:val="Compact"/>
            </w:pPr>
            <w:r>
              <w:t xml:space="preserve">Equipo documental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Revisión técnica</w:t>
            </w:r>
          </w:p>
        </w:tc>
        <w:tc>
          <w:tcPr/>
          <w:p>
            <w:pPr>
              <w:pStyle w:val="Compact"/>
            </w:pPr>
            <w:r>
              <w:t xml:space="preserve">Completada; aprobación contractual pendiente</w:t>
            </w:r>
          </w:p>
        </w:tc>
      </w:tr>
    </w:tbl>
    <w:bookmarkEnd w:id="9"/>
    <w:bookmarkStart w:id="10" w:name="resumen-y-ruta-rápida"/>
    <w:p>
      <w:pPr>
        <w:pStyle w:val="Heading1"/>
      </w:pPr>
      <w:r>
        <w:t xml:space="preserve">Resumen y ruta rápida</w:t>
      </w:r>
    </w:p>
    <w:p>
      <w:pPr>
        <w:pStyle w:val="FirstParagraph"/>
      </w:pPr>
      <w:r>
        <w:t xml:space="preserve">La aplicación organiza el trabajo en ocho módulos laterales. La ruta mínima es:</w:t>
      </w:r>
      <w:r>
        <w:t xml:space="preserve"> </w:t>
      </w:r>
      <w:r>
        <w:t xml:space="preserve">cargar tres grupos de CSV, ejecutar homogeneidad y estabilidad, revisar valores</w:t>
      </w:r>
      <w:r>
        <w:t xml:space="preserve"> </w:t>
      </w:r>
      <w:r>
        <w:t xml:space="preserve">atípicos, calcular el valor asignado, calcular puntajes y consultar o descargar</w:t>
      </w:r>
      <w:r>
        <w:t xml:space="preserve"> </w:t>
      </w:r>
      <w:r>
        <w:t xml:space="preserve">resultados. La interfaz no reemplaza la revisión metrológica del responsable.</w:t>
      </w:r>
    </w:p>
    <w:bookmarkEnd w:id="10"/>
    <w:bookmarkStart w:id="23" w:name="mapa-de-navegación-vigente"/>
    <w:p>
      <w:pPr>
        <w:pStyle w:val="Heading1"/>
      </w:pPr>
      <w:r>
        <w:t xml:space="preserve">Mapa de navegación vigente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Orden</w:t>
            </w:r>
          </w:p>
        </w:tc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Acción principal</w:t>
            </w:r>
          </w:p>
        </w:tc>
        <w:tc>
          <w:tcPr/>
          <w:p>
            <w:pPr>
              <w:pStyle w:val="Compact"/>
            </w:pPr>
            <w:r>
              <w:t xml:space="preserve">Resultado observable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Carga de datos</w:t>
            </w:r>
          </w:p>
        </w:tc>
        <w:tc>
          <w:tcPr/>
          <w:p>
            <w:pPr>
              <w:pStyle w:val="Compact"/>
            </w:pPr>
            <w:r>
              <w:t xml:space="preserve">Cargar homogeneidad, estabilidad y consolidados</w:t>
            </w:r>
          </w:p>
        </w:tc>
        <w:tc>
          <w:tcPr/>
          <w:p>
            <w:pPr>
              <w:pStyle w:val="Compact"/>
            </w:pPr>
            <w:r>
              <w:t xml:space="preserve">Estado de los datos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Análisis de homogeneidad y estabilidad</w:t>
            </w:r>
          </w:p>
        </w:tc>
        <w:tc>
          <w:tcPr/>
          <w:p>
            <w:pPr>
              <w:pStyle w:val="Compact"/>
            </w:pPr>
            <w:r>
              <w:t xml:space="preserve">Elegir analito/nivel y ejecutar</w:t>
            </w:r>
          </w:p>
        </w:tc>
        <w:tc>
          <w:tcPr/>
          <w:p>
            <w:pPr>
              <w:pStyle w:val="Compact"/>
            </w:pPr>
            <w:r>
              <w:t xml:space="preserve">Conclusiones, tablas e incertidumbres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Valores atípicos</w:t>
            </w:r>
          </w:p>
        </w:tc>
        <w:tc>
          <w:tcPr/>
          <w:p>
            <w:pPr>
              <w:pStyle w:val="Compact"/>
            </w:pPr>
            <w:r>
              <w:t xml:space="preserve">Elegir contaminante y nivel</w:t>
            </w:r>
          </w:p>
        </w:tc>
        <w:tc>
          <w:tcPr/>
          <w:p>
            <w:pPr>
              <w:pStyle w:val="Compact"/>
            </w:pPr>
            <w:r>
              <w:t xml:space="preserve">Resumen Grubbs, histograma y caja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Valor asignado</w:t>
            </w:r>
          </w:p>
        </w:tc>
        <w:tc>
          <w:tcPr/>
          <w:p>
            <w:pPr>
              <w:pStyle w:val="Compact"/>
            </w:pPr>
            <w:r>
              <w:t xml:space="preserve">Ejecutar Algoritmo A, consenso o compatibilidad</w:t>
            </w:r>
          </w:p>
        </w:tc>
        <w:tc>
          <w:tcPr/>
          <w:p>
            <w:pPr>
              <w:pStyle w:val="Compact"/>
            </w:pPr>
            <w:r>
              <w:t xml:space="preserve">Tablas, iteraciones y comparación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Puntajes EA</w:t>
            </w:r>
          </w:p>
        </w:tc>
        <w:tc>
          <w:tcPr/>
          <w:p>
            <w:pPr>
              <w:pStyle w:val="Compact"/>
            </w:pPr>
            <w:r>
              <w:t xml:space="preserve">Elegir esquema y calcular</w:t>
            </w:r>
          </w:p>
        </w:tc>
        <w:tc>
          <w:tcPr/>
          <w:p>
            <w:pPr>
              <w:pStyle w:val="Compact"/>
            </w:pPr>
            <w:r>
              <w:t xml:space="preserve">z, z’, zeta, En y clasificaciones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Informe global</w:t>
            </w:r>
          </w:p>
        </w:tc>
        <w:tc>
          <w:tcPr/>
          <w:p>
            <w:pPr>
              <w:pStyle w:val="Compact"/>
            </w:pPr>
            <w:r>
              <w:t xml:space="preserve">Seleccionar combinación</w:t>
            </w:r>
          </w:p>
        </w:tc>
        <w:tc>
          <w:tcPr/>
          <w:p>
            <w:pPr>
              <w:pStyle w:val="Compact"/>
            </w:pPr>
            <w:r>
              <w:t xml:space="preserve">Tablas y mapas de calor por método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Participantes</w:t>
            </w:r>
          </w:p>
        </w:tc>
        <w:tc>
          <w:tcPr/>
          <w:p>
            <w:pPr>
              <w:pStyle w:val="Compact"/>
            </w:pPr>
            <w:r>
              <w:t xml:space="preserve">Elegir analito y nivel</w:t>
            </w:r>
          </w:p>
        </w:tc>
        <w:tc>
          <w:tcPr/>
          <w:p>
            <w:pPr>
              <w:pStyle w:val="Compact"/>
            </w:pPr>
            <w:r>
              <w:t xml:space="preserve">Resumen individual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Generación de informes</w:t>
            </w:r>
          </w:p>
        </w:tc>
        <w:tc>
          <w:tcPr/>
          <w:p>
            <w:pPr>
              <w:pStyle w:val="Compact"/>
            </w:pPr>
            <w:r>
              <w:t xml:space="preserve">Identificar ronda y participante</w:t>
            </w:r>
          </w:p>
        </w:tc>
        <w:tc>
          <w:tcPr/>
          <w:p>
            <w:pPr>
              <w:pStyle w:val="Compact"/>
            </w:pPr>
            <w:r>
              <w:t xml:space="preserve">Vista previa y DOCX descargable</w:t>
            </w:r>
          </w:p>
        </w:tc>
      </w:tr>
    </w:tbl>
    <w:p>
      <w:pPr>
        <w:pStyle w:val="CaptionedFigure"/>
      </w:pPr>
      <w:r>
        <w:drawing>
          <wp:inline>
            <wp:extent cx="5334000" cy="5545137"/>
            <wp:effectExtent b="0" l="0" r="0" t="0"/>
            <wp:docPr descr="CAP-01. Pantalla inicial de carga." title="" id="12" name="Picture"/>
            <a:graphic>
              <a:graphicData uri="http://schemas.openxmlformats.org/drawingml/2006/picture">
                <pic:pic>
                  <pic:nvPicPr>
                    <pic:cNvPr descr="../../00_evidencia_visual/capturas/CAP-01_inicio_carga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5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CAP-01. Pantalla inicial de carga.</w:t>
      </w:r>
    </w:p>
    <w:p>
      <w:pPr>
        <w:pStyle w:val="BodyText"/>
      </w:pPr>
      <w:r>
        <w:rPr>
          <w:b/>
          <w:bCs/>
        </w:rPr>
        <w:t xml:space="preserve">Figura CAP-01.</w:t>
      </w:r>
      <w:r>
        <w:t xml:space="preserve"> </w:t>
      </w:r>
      <w:r>
        <w:t xml:space="preserve">Observe los tres grupos obligatorios, la referencia CALAIRE</w:t>
      </w:r>
      <w:r>
        <w:t xml:space="preserve"> </w:t>
      </w:r>
      <w:r>
        <w:t xml:space="preserve">opcional y el acceso al preprocesador. El cuarto archivo que describía el</w:t>
      </w:r>
      <w:r>
        <w:t xml:space="preserve"> </w:t>
      </w:r>
      <w:r>
        <w:t xml:space="preserve">prototipo de 2026-01-24 ya no corresponde a la carga vigente.</w:t>
      </w:r>
    </w:p>
    <w:p>
      <w:pPr>
        <w:pStyle w:val="CaptionedFigure"/>
      </w:pPr>
      <w:r>
        <w:drawing>
          <wp:inline>
            <wp:extent cx="5334000" cy="12323762"/>
            <wp:effectExtent b="0" l="0" r="0" t="0"/>
            <wp:docPr descr="CAP-04. Selección previa al análisis." title="" id="15" name="Picture"/>
            <a:graphic>
              <a:graphicData uri="http://schemas.openxmlformats.org/drawingml/2006/picture">
                <pic:pic>
                  <pic:nvPicPr>
                    <pic:cNvPr descr="../../00_evidencia_visual/capturas/CAP-04_homogeneidad_previa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23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CAP-04. Selección previa al análisis.</w:t>
      </w:r>
    </w:p>
    <w:p>
      <w:pPr>
        <w:pStyle w:val="BodyText"/>
      </w:pPr>
      <w:r>
        <w:rPr>
          <w:b/>
          <w:bCs/>
        </w:rPr>
        <w:t xml:space="preserve">Figura CAP-04.</w:t>
      </w:r>
      <w:r>
        <w:t xml:space="preserve"> </w:t>
      </w:r>
      <w:r>
        <w:t xml:space="preserve">El panel izquierdo concentra ejecución y selectores; las</w:t>
      </w:r>
      <w:r>
        <w:t xml:space="preserve"> </w:t>
      </w:r>
      <w:r>
        <w:t xml:space="preserve">subpestañas derechas separan vista previa, homogeneidad, estabilidad e</w:t>
      </w:r>
      <w:r>
        <w:t xml:space="preserve"> </w:t>
      </w:r>
      <w:r>
        <w:t xml:space="preserve">incertidumbres.</w:t>
      </w:r>
    </w:p>
    <w:p>
      <w:pPr>
        <w:pStyle w:val="CaptionedFigure"/>
      </w:pPr>
      <w:r>
        <w:drawing>
          <wp:inline>
            <wp:extent cx="5334000" cy="19398720"/>
            <wp:effectExtent b="0" l="0" r="0" t="0"/>
            <wp:docPr descr="CAP-12. Resumen de puntajes." title="" id="18" name="Picture"/>
            <a:graphic>
              <a:graphicData uri="http://schemas.openxmlformats.org/drawingml/2006/picture">
                <pic:pic>
                  <pic:nvPicPr>
                    <pic:cNvPr descr="../../00_evidencia_visual/capturas/CAP-12_puntajes_resumen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8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CAP-12. Resumen de puntajes.</w:t>
      </w:r>
    </w:p>
    <w:p>
      <w:pPr>
        <w:pStyle w:val="BodyText"/>
      </w:pPr>
      <w:r>
        <w:rPr>
          <w:b/>
          <w:bCs/>
        </w:rPr>
        <w:t xml:space="preserve">Figura CAP-12.</w:t>
      </w:r>
      <w:r>
        <w:t xml:space="preserve"> </w:t>
      </w:r>
      <w:r>
        <w:t xml:space="preserve">Antes de interpretar una clasificación, confirme analito,</w:t>
      </w:r>
      <w:r>
        <w:t xml:space="preserve"> </w:t>
      </w:r>
      <w:r>
        <w:t xml:space="preserve">esquema, nivel, método y parámetros mostrados en el resumen.</w:t>
      </w:r>
    </w:p>
    <w:p>
      <w:pPr>
        <w:pStyle w:val="CaptionedFigure"/>
      </w:pPr>
      <w:r>
        <w:drawing>
          <wp:inline>
            <wp:extent cx="5334000" cy="12788056"/>
            <wp:effectExtent b="0" l="0" r="0" t="0"/>
            <wp:docPr descr="CAP-19. Vista a 1024 por 768." title="" id="21" name="Picture"/>
            <a:graphic>
              <a:graphicData uri="http://schemas.openxmlformats.org/drawingml/2006/picture">
                <pic:pic>
                  <pic:nvPicPr>
                    <pic:cNvPr descr="../../00_evidencia_visual/capturas/CAP-19_resolucion_meno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88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CAP-19. Vista a 1024 por 768.</w:t>
      </w:r>
    </w:p>
    <w:p>
      <w:pPr>
        <w:pStyle w:val="BodyText"/>
      </w:pPr>
      <w:r>
        <w:rPr>
          <w:b/>
          <w:bCs/>
        </w:rPr>
        <w:t xml:space="preserve">Figura CAP-19.</w:t>
      </w:r>
      <w:r>
        <w:t xml:space="preserve"> </w:t>
      </w:r>
      <w:r>
        <w:t xml:space="preserve">La navegación y acciones críticas permanecen disponibles en</w:t>
      </w:r>
      <w:r>
        <w:t xml:space="preserve"> </w:t>
      </w:r>
      <w:r>
        <w:t xml:space="preserve">una resolución menor; puede ser necesario desplazarse verticalmente.</w:t>
      </w:r>
    </w:p>
    <w:bookmarkEnd w:id="23"/>
    <w:bookmarkStart w:id="24" w:name="del-prototipo-al-aplicativo-vigente"/>
    <w:p>
      <w:pPr>
        <w:pStyle w:val="Heading1"/>
      </w:pPr>
      <w:r>
        <w:t xml:space="preserve">Del prototipo al aplicativo vigente</w:t>
      </w:r>
    </w:p>
    <w:p>
      <w:pPr>
        <w:pStyle w:val="FirstParagraph"/>
      </w:pPr>
      <w:r>
        <w:rPr>
          <w:rStyle w:val="VerbatimChar"/>
        </w:rPr>
        <w:t xml:space="preserve">html/prototipo.html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mmd/diagrama_navegacion.mmd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app_v06.R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app_v07.R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app_final.R</w:t>
      </w:r>
      <w:r>
        <w:t xml:space="preserve"> </w:t>
      </w:r>
      <w:r>
        <w:t xml:space="preserve">se conservan como antecedentes. No deben usarse para afirmar el</w:t>
      </w:r>
      <w:r>
        <w:t xml:space="preserve"> </w:t>
      </w:r>
      <w:r>
        <w:t xml:space="preserve">comportamiento actual. El prototipo proponía datos precargados, varios métodos</w:t>
      </w:r>
      <w:r>
        <w:t xml:space="preserve"> </w:t>
      </w:r>
      <w:r>
        <w:t xml:space="preserve">de atípicos, exportación a PDF/PowerPoint y comparación histórica; esas</w:t>
      </w:r>
      <w:r>
        <w:t xml:space="preserve"> </w:t>
      </w:r>
      <w:r>
        <w:t xml:space="preserve">acciones no forman parte de la navegación vigente salvo que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 </w:t>
      </w:r>
      <w:r>
        <w:t xml:space="preserve">las muestre</w:t>
      </w:r>
      <w:r>
        <w:t xml:space="preserve"> </w:t>
      </w:r>
      <w:r>
        <w:t xml:space="preserve">expresamente. La autoridad funcional es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 </w:t>
      </w:r>
      <w:r>
        <w:t xml:space="preserve">y el núcleo</w:t>
      </w:r>
      <w:r>
        <w:t xml:space="preserve"> </w:t>
      </w:r>
      <w:r>
        <w:rPr>
          <w:rStyle w:val="VerbatimChar"/>
        </w:rPr>
        <w:t xml:space="preserve">ptcalc/</w:t>
      </w:r>
      <w:r>
        <w:t xml:space="preserve"> </w:t>
      </w:r>
      <w:r>
        <w:t xml:space="preserve">que carga.</w:t>
      </w:r>
    </w:p>
    <w:bookmarkEnd w:id="24"/>
    <w:bookmarkStart w:id="25" w:name="accesibilidad-y-uso"/>
    <w:p>
      <w:pPr>
        <w:pStyle w:val="Heading1"/>
      </w:pPr>
      <w:r>
        <w:t xml:space="preserve">Accesibilidad y uso</w:t>
      </w:r>
    </w:p>
    <w:p>
      <w:pPr>
        <w:pStyle w:val="Compact"/>
        <w:numPr>
          <w:ilvl w:val="0"/>
          <w:numId w:val="1001"/>
        </w:numPr>
      </w:pPr>
      <w:r>
        <w:t xml:space="preserve">Los controles tienen etiquetas visibles y las tablas permiten búsqueda y</w:t>
      </w:r>
      <w:r>
        <w:t xml:space="preserve"> </w:t>
      </w:r>
      <w:r>
        <w:t xml:space="preserve">paginación. El color complementa texto y valores, pero no debe ser el único</w:t>
      </w:r>
      <w:r>
        <w:t xml:space="preserve"> </w:t>
      </w:r>
      <w:r>
        <w:t xml:space="preserve">criterio de interpretación.</w:t>
      </w:r>
    </w:p>
    <w:p>
      <w:pPr>
        <w:pStyle w:val="Compact"/>
        <w:numPr>
          <w:ilvl w:val="0"/>
          <w:numId w:val="1001"/>
        </w:numPr>
      </w:pPr>
      <w:r>
        <w:t xml:space="preserve">Use una pantalla de al menos 1024×768 y zoom del navegador al 100 %.</w:t>
      </w:r>
    </w:p>
    <w:p>
      <w:pPr>
        <w:pStyle w:val="Compact"/>
        <w:numPr>
          <w:ilvl w:val="0"/>
          <w:numId w:val="1001"/>
        </w:numPr>
      </w:pPr>
      <w:r>
        <w:t xml:space="preserve">Espere a que termine cada cálculo antes de cambiar de módulo.</w:t>
      </w:r>
    </w:p>
    <w:p>
      <w:pPr>
        <w:pStyle w:val="Compact"/>
        <w:numPr>
          <w:ilvl w:val="0"/>
          <w:numId w:val="1001"/>
        </w:numPr>
      </w:pPr>
      <w:r>
        <w:t xml:space="preserve">Si una tabla oculta emite el diagnóstico técnico DT</w:t>
      </w:r>
      <w:r>
        <w:t xml:space="preserve"> </w:t>
      </w:r>
      <w:r>
        <w:rPr>
          <w:rStyle w:val="VerbatimChar"/>
        </w:rPr>
        <w:t xml:space="preserve">adjustWidth</w:t>
      </w:r>
      <w:r>
        <w:t xml:space="preserve">, cambie de</w:t>
      </w:r>
      <w:r>
        <w:t xml:space="preserve"> </w:t>
      </w:r>
      <w:r>
        <w:t xml:space="preserve">pestaña o redimensione la ventana; no se ha observado cambio en los cálculos.</w:t>
      </w:r>
    </w:p>
    <w:bookmarkEnd w:id="25"/>
    <w:bookmarkStart w:id="26" w:name="evidencia-y-trazabilidad"/>
    <w:p>
      <w:pPr>
        <w:pStyle w:val="Heading1"/>
      </w:pPr>
      <w:r>
        <w:t xml:space="preserve">Evidencia y trazabilidad</w:t>
      </w:r>
    </w:p>
    <w:p>
      <w:pPr>
        <w:pStyle w:val="FirstParagraph"/>
      </w:pPr>
      <w:r>
        <w:t xml:space="preserve">Las CAP-01 a CAP-19 se generaron con datos no sensibles y Playwright. Acción,</w:t>
      </w:r>
      <w:r>
        <w:t xml:space="preserve"> </w:t>
      </w:r>
      <w:r>
        <w:t xml:space="preserve">viewport, commit y SHA-256 están en</w:t>
      </w:r>
      <w:r>
        <w:t xml:space="preserve"> </w:t>
      </w:r>
      <w:r>
        <w:rPr>
          <w:rStyle w:val="VerbatimChar"/>
        </w:rPr>
        <w:t xml:space="preserve">../../00_evidencia_visual/indice_capturas.md</w:t>
      </w:r>
      <w:r>
        <w:t xml:space="preserve">. Este documento demuestra la</w:t>
      </w:r>
      <w:r>
        <w:t xml:space="preserve"> </w:t>
      </w:r>
      <w:r>
        <w:t xml:space="preserve">interfaz observada; no certifica conformidad normativa ni aprobación contractual.</w:t>
      </w:r>
    </w:p>
    <w:bookmarkEnd w:id="26"/>
    <w:bookmarkStart w:id="27" w:name="historial-de-cambios"/>
    <w:p>
      <w:pPr>
        <w:pStyle w:val="Heading1"/>
      </w:pPr>
      <w:r>
        <w:t xml:space="preserve">Historial de cambios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Cambio</w:t>
            </w:r>
          </w:p>
        </w:tc>
        <w:tc>
          <w:tcPr/>
          <w:p>
            <w:pPr>
              <w:pStyle w:val="Compact"/>
            </w:pPr>
            <w:r>
              <w:t xml:space="preserve">Aprobación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2026-01-24</w:t>
            </w:r>
          </w:p>
        </w:tc>
        <w:tc>
          <w:tcPr/>
          <w:p>
            <w:pPr>
              <w:pStyle w:val="Compact"/>
            </w:pPr>
            <w:r>
              <w:t xml:space="preserve">Wireframe conceptual</w:t>
            </w:r>
          </w:p>
        </w:tc>
        <w:tc>
          <w:tcPr/>
          <w:p>
            <w:pPr>
              <w:pStyle w:val="Compact"/>
            </w:pPr>
            <w:r>
              <w:t xml:space="preserve">Histórico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2026-07-14</w:t>
            </w:r>
          </w:p>
        </w:tc>
        <w:tc>
          <w:tcPr/>
          <w:p>
            <w:pPr>
              <w:pStyle w:val="Compact"/>
            </w:pPr>
            <w:r>
              <w:t xml:space="preserve">Recorrido contrastado con</w:t>
            </w:r>
            <w:r>
              <w:t xml:space="preserve"> </w:t>
            </w:r>
            <w:r>
              <w:rPr>
                <w:rStyle w:val="VerbatimChar"/>
              </w:rPr>
              <w:t xml:space="preserve">app.R</w:t>
            </w:r>
            <w:r>
              <w:t xml:space="preserve"> </w:t>
            </w:r>
            <w:r>
              <w:t xml:space="preserve">y capturas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</w:tbl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C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Recorrido visual de la interfaz vigente</dc:title>
  <dc:creator/>
  <dc:language>es-CO</dc:language>
  <cp:keywords/>
  <dcterms:created xsi:type="dcterms:W3CDTF">2026-07-14T19:30:14Z</dcterms:created>
  <dcterms:modified xsi:type="dcterms:W3CDTF">2026-07-14T19:30:14Z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>Usuario y operación</vt:lpwstr>
  </property>
  <property fmtid="{D5CDD505-2E9C-101B-9397-08002B2CF9AE}" pid="3" name="date">
    <vt:lpwstr>2026-07-14</vt:lpwstr>
  </property>
  <property fmtid="{D5CDD505-2E9C-101B-9397-08002B2CF9AE}" pid="4" name="deliverable">
    <vt:lpwstr>E05</vt:lpwstr>
  </property>
  <property fmtid="{D5CDD505-2E9C-101B-9397-08002B2CF9AE}" pid="5" name="source_commit">
    <vt:lpwstr>c7200b1</vt:lpwstr>
  </property>
  <property fmtid="{D5CDD505-2E9C-101B-9397-08002B2CF9AE}" pid="6" name="status">
    <vt:lpwstr>Vigente verificado</vt:lpwstr>
  </property>
  <property fmtid="{D5CDD505-2E9C-101B-9397-08002B2CF9AE}" pid="7" name="subtitle">
    <vt:lpwstr>Entregable E05 — Prototipo e interfaz</vt:lpwstr>
  </property>
  <property fmtid="{D5CDD505-2E9C-101B-9397-08002B2CF9AE}" pid="8" name="version">
    <vt:lpwstr>2.0</vt:lpwstr>
  </property>
</Properties>
</file>