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usuario del aplicativo PT</w:t>
      </w:r>
    </w:p>
    <w:p>
      <w:pPr>
        <w:pStyle w:val="Subtitle"/>
      </w:pPr>
      <w:r>
        <w:t xml:space="preserve">Entregable E06 — Operación y lógica</w:t>
      </w:r>
    </w:p>
    <w:p>
      <w:pPr>
        <w:pStyle w:val="Date"/>
      </w:pPr>
      <w:r>
        <w:t xml:space="preserve">2026-07-14</w:t>
      </w:r>
    </w:p>
    <w:bookmarkStart w:id="9" w:name="ficha-de-control-documental"/>
    <w:p>
      <w:pPr>
        <w:pStyle w:val="Heading1"/>
      </w:pPr>
      <w:r>
        <w:t xml:space="preserve">Ficha de control documental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DOC-E06-USR-01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controlada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06_app_logica/md/manual_usuario.md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Autoridad funcional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; cálculos en</w:t>
            </w:r>
            <w:r>
              <w:t xml:space="preserve"> </w:t>
            </w:r>
            <w:r>
              <w:rPr>
                <w:rStyle w:val="VerbatimChar"/>
              </w:rPr>
              <w:t xml:space="preserve">ptcalc/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06_app_logica/manual_usuario.docx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técnica</w:t>
            </w:r>
          </w:p>
        </w:tc>
        <w:tc>
          <w:tcPr/>
          <w:p>
            <w:pPr>
              <w:pStyle w:val="Compact"/>
            </w:pPr>
            <w:r>
              <w:t xml:space="preserve">Completada; aprobación contractual pendiente</w:t>
            </w:r>
          </w:p>
        </w:tc>
      </w:tr>
    </w:tbl>
    <w:bookmarkEnd w:id="9"/>
    <w:bookmarkStart w:id="11" w:name="antes-de-empezar"/>
    <w:p>
      <w:pPr>
        <w:pStyle w:val="Heading1"/>
      </w:pPr>
      <w:r>
        <w:t xml:space="preserve">Antes de empezar</w:t>
      </w:r>
    </w:p>
    <w:p>
      <w:pPr>
        <w:pStyle w:val="FirstParagraph"/>
      </w:pPr>
      <w:r>
        <w:t xml:space="preserve">Este manual permite completar una ronda sin conocer R. Necesita CSV de</w:t>
      </w:r>
      <w:r>
        <w:t xml:space="preserve"> </w:t>
      </w:r>
      <w:r>
        <w:t xml:space="preserve">homogeneidad, estabilidad y uno o más consolidados de participantes. La</w:t>
      </w:r>
      <w:r>
        <w:t xml:space="preserve"> </w:t>
      </w:r>
      <w:r>
        <w:t xml:space="preserve">referencia CALAIRE puede venir como fila</w:t>
      </w:r>
      <w:r>
        <w:t xml:space="preserve"> </w:t>
      </w:r>
      <w:r>
        <w:rPr>
          <w:rStyle w:val="VerbatimChar"/>
        </w:rPr>
        <w:t xml:space="preserve">participant_id='ref'</w:t>
      </w:r>
      <w:r>
        <w:t xml:space="preserve"> </w:t>
      </w:r>
      <w:r>
        <w:t xml:space="preserve">del consolidado</w:t>
      </w:r>
      <w:r>
        <w:t xml:space="preserve"> </w:t>
      </w:r>
      <w:r>
        <w:t xml:space="preserve">o en un archivo separado. Conserve una copia inalterada de los originales y no</w:t>
      </w:r>
      <w:r>
        <w:t xml:space="preserve"> </w:t>
      </w:r>
      <w:r>
        <w:t xml:space="preserve">incluya información personal innecesaria.</w:t>
      </w:r>
    </w:p>
    <w:bookmarkStart w:id="10" w:name="preparación-de-archivos"/>
    <w:p>
      <w:pPr>
        <w:pStyle w:val="Heading2"/>
      </w:pPr>
      <w:r>
        <w:t xml:space="preserve">Preparación de archivos</w:t>
      </w:r>
    </w:p>
    <w:p>
      <w:pPr>
        <w:pStyle w:val="Compact"/>
        <w:numPr>
          <w:ilvl w:val="0"/>
          <w:numId w:val="1001"/>
        </w:numPr>
      </w:pPr>
      <w:r>
        <w:t xml:space="preserve">CSV de homogeneidad y estabilidad: deben contener analito, nivel y columnas</w:t>
      </w:r>
      <w:r>
        <w:t xml:space="preserve"> </w:t>
      </w:r>
      <w:r>
        <w:t xml:space="preserve">de réplicas</w:t>
      </w:r>
      <w:r>
        <w:t xml:space="preserve"> </w:t>
      </w:r>
      <w:r>
        <w:rPr>
          <w:rStyle w:val="VerbatimChar"/>
        </w:rPr>
        <w:t xml:space="preserve">sample_*</w:t>
      </w:r>
      <w:r>
        <w:t xml:space="preserve"> </w:t>
      </w:r>
      <w:r>
        <w:t xml:space="preserve">compatibles con el aplicativo.</w:t>
      </w:r>
    </w:p>
    <w:p>
      <w:pPr>
        <w:pStyle w:val="Compact"/>
        <w:numPr>
          <w:ilvl w:val="0"/>
          <w:numId w:val="1001"/>
        </w:numPr>
      </w:pPr>
      <w:r>
        <w:t xml:space="preserve">Consolidado: debe identificar participante, analito, nivel, esquema y</w:t>
      </w:r>
      <w:r>
        <w:t xml:space="preserve"> </w:t>
      </w:r>
      <w:r>
        <w:t xml:space="preserve">resultado. Para zeta se requiere incertidumbre estándar</w:t>
      </w:r>
      <w:r>
        <w:t xml:space="preserve"> </w:t>
      </w:r>
      <w:r>
        <w:rPr>
          <w:rStyle w:val="VerbatimChar"/>
        </w:rPr>
        <w:t xml:space="preserve">u_value</w:t>
      </w:r>
      <w:r>
        <w:t xml:space="preserve">; para En,</w:t>
      </w:r>
      <w:r>
        <w:t xml:space="preserve"> </w:t>
      </w:r>
      <w:r>
        <w:t xml:space="preserve">incertidumbre expandida</w:t>
      </w:r>
      <w:r>
        <w:t xml:space="preserve"> </w:t>
      </w:r>
      <w:r>
        <w:rPr>
          <w:rStyle w:val="VerbatimChar"/>
        </w:rPr>
        <w:t xml:space="preserve">u_exp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U(xi)</w:t>
      </w:r>
      <w:r>
        <w:t xml:space="preserve"> </w:t>
      </w:r>
      <w:r>
        <w:t xml:space="preserve">y factor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 punto decimal y encabezados sin alterar. El preprocesador puede generar</w:t>
      </w:r>
      <w:r>
        <w:t xml:space="preserve"> </w:t>
      </w:r>
      <w:r>
        <w:t xml:space="preserve">los archivos cuando se parte de datos crudos.</w:t>
      </w:r>
    </w:p>
    <w:bookmarkEnd w:id="10"/>
    <w:bookmarkEnd w:id="11"/>
    <w:bookmarkStart w:id="21" w:name="procedimiento-completo"/>
    <w:p>
      <w:pPr>
        <w:pStyle w:val="Heading1"/>
      </w:pPr>
      <w:r>
        <w:t xml:space="preserve">Procedimiento completo</w:t>
      </w:r>
    </w:p>
    <w:p>
      <w:pPr>
        <w:pStyle w:val="Compact"/>
        <w:numPr>
          <w:ilvl w:val="0"/>
          <w:numId w:val="1002"/>
        </w:numPr>
      </w:pPr>
      <w:r>
        <w:t xml:space="preserve">Ejecute</w:t>
      </w:r>
      <w:r>
        <w:t xml:space="preserve"> </w:t>
      </w:r>
      <w:r>
        <w:rPr>
          <w:rStyle w:val="VerbatimChar"/>
        </w:rPr>
        <w:t xml:space="preserve">Rscript app.R</w:t>
      </w:r>
      <w:r>
        <w:t xml:space="preserve"> </w:t>
      </w:r>
      <w:r>
        <w:t xml:space="preserve">desde la raíz o solicite al administrador la URL.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Carga de datos</w:t>
      </w:r>
      <w:r>
        <w:t xml:space="preserve">, seleccione los tres grupos de CSV. Active la referencia</w:t>
      </w:r>
      <w:r>
        <w:t xml:space="preserve"> </w:t>
      </w:r>
      <w:r>
        <w:t xml:space="preserve">separada solo si no viene en el consolidado. El estado debe confirmar carga</w:t>
      </w:r>
      <w:r>
        <w:t xml:space="preserve"> </w:t>
      </w:r>
      <w:r>
        <w:t xml:space="preserve">válida (CAP-02).</w:t>
      </w:r>
    </w:p>
    <w:p>
      <w:pPr>
        <w:pStyle w:val="Compact"/>
        <w:numPr>
          <w:ilvl w:val="0"/>
          <w:numId w:val="1002"/>
        </w:numPr>
      </w:pPr>
      <w:r>
        <w:t xml:space="preserve">Si parte de crudos, abra</w:t>
      </w:r>
      <w:r>
        <w:t xml:space="preserve"> </w:t>
      </w:r>
      <w:r>
        <w:rPr>
          <w:b/>
          <w:bCs/>
        </w:rPr>
        <w:t xml:space="preserve">Preprocesador de datos</w:t>
      </w:r>
      <w:r>
        <w:t xml:space="preserve">, configure fuentes,</w:t>
      </w:r>
      <w:r>
        <w:t xml:space="preserve"> </w:t>
      </w:r>
      <w:r>
        <w:t xml:space="preserve">guarde crudos, ejecute y exporte referencia/participantes (CAP-03). Revise los</w:t>
      </w:r>
      <w:r>
        <w:t xml:space="preserve"> </w:t>
      </w:r>
      <w:r>
        <w:t xml:space="preserve">archivos antes de volver a cargarlos.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Análisis de Homogeneidad y estabilidad</w:t>
      </w:r>
      <w:r>
        <w:t xml:space="preserve">, pulse</w:t>
      </w:r>
      <w:r>
        <w:t xml:space="preserve"> </w:t>
      </w:r>
      <w:r>
        <w:rPr>
          <w:b/>
          <w:bCs/>
        </w:rPr>
        <w:t xml:space="preserve">Ejecutar</w:t>
      </w:r>
      <w:r>
        <w:t xml:space="preserve">, elija</w:t>
      </w:r>
      <w:r>
        <w:t xml:space="preserve"> </w:t>
      </w:r>
      <w:r>
        <w:t xml:space="preserve">analito y nivel, y revise vista previa/validación. Lea por separado las</w:t>
      </w:r>
      <w:r>
        <w:t xml:space="preserve"> </w:t>
      </w:r>
      <w:r>
        <w:t xml:space="preserve">conclusiones MADe y nIQR (CAP-05 y CAP-06) y las contribuciones</w:t>
      </w:r>
      <w:r>
        <w:t xml:space="preserve"> </w:t>
      </w:r>
      <w:r>
        <w:rPr>
          <w:rStyle w:val="VerbatimChar"/>
        </w:rPr>
        <w:t xml:space="preserve">u_hom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u_stab</w:t>
      </w:r>
      <w:r>
        <w:t xml:space="preserve"> </w:t>
      </w:r>
      <w:r>
        <w:t xml:space="preserve">(CAP-07). Exporte los registros si necesita evidencia.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Valores Atípicos</w:t>
      </w:r>
      <w:r>
        <w:t xml:space="preserve">, seleccione combinación y examine Grubbs, histograma</w:t>
      </w:r>
      <w:r>
        <w:t xml:space="preserve"> </w:t>
      </w:r>
      <w:r>
        <w:t xml:space="preserve">y caja (CAP-08). Una señal amerita revisión; no autoriza borrar un resultado</w:t>
      </w:r>
      <w:r>
        <w:t xml:space="preserve"> </w:t>
      </w:r>
      <w:r>
        <w:t xml:space="preserve">automáticamente.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Valor asignado</w:t>
      </w:r>
      <w:r>
        <w:t xml:space="preserve">, seleccione analito, esquema y nivel. Ejecute el método</w:t>
      </w:r>
      <w:r>
        <w:t xml:space="preserve"> </w:t>
      </w:r>
      <w:r>
        <w:t xml:space="preserve">requerido: Algoritmo A (CAP-09), consenso (CAP-10) o compatibilidad (CAP-11).</w:t>
      </w:r>
      <w:r>
        <w:t xml:space="preserve"> </w:t>
      </w:r>
      <w:r>
        <w:t xml:space="preserve">Confirme convergencia y cantidad de datos antes de usar el resultado.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Puntajes EA</w:t>
      </w:r>
      <w:r>
        <w:t xml:space="preserve">, pulse</w:t>
      </w:r>
      <w:r>
        <w:t xml:space="preserve"> </w:t>
      </w:r>
      <w:r>
        <w:rPr>
          <w:b/>
          <w:bCs/>
        </w:rPr>
        <w:t xml:space="preserve">Calcular puntajes</w:t>
      </w:r>
      <w:r>
        <w:t xml:space="preserve">. Confirme parámetros y método,</w:t>
      </w:r>
      <w:r>
        <w:t xml:space="preserve"> </w:t>
      </w:r>
      <w:r>
        <w:t xml:space="preserve">después lea resumen y pestañas z, z’, zeta y En (CAP-12 a CAP-14).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indica que faltó un denominador válido o una incertidumbre necesaria.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Informe global</w:t>
      </w:r>
      <w:r>
        <w:t xml:space="preserve">, elija la combinación y compare métodos en tablas y</w:t>
      </w:r>
      <w:r>
        <w:t xml:space="preserve"> </w:t>
      </w:r>
      <w:r>
        <w:t xml:space="preserve">mapas de calor (CAP-15). No compare magnitudes de analitos/unidades distintas</w:t>
      </w:r>
      <w:r>
        <w:t xml:space="preserve"> </w:t>
      </w:r>
      <w:r>
        <w:t xml:space="preserve">como si fueran equivalentes.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Participantes</w:t>
      </w:r>
      <w:r>
        <w:t xml:space="preserve">, filtre analito y nivel para revisar el detalle individual</w:t>
      </w:r>
      <w:r>
        <w:t xml:space="preserve"> </w:t>
      </w:r>
      <w:r>
        <w:t xml:space="preserve">(CAP-16). Verifique siempre el identificador antes de comunicar resultados.</w:t>
      </w:r>
    </w:p>
    <w:p>
      <w:pPr>
        <w:pStyle w:val="Compact"/>
        <w:numPr>
          <w:ilvl w:val="0"/>
          <w:numId w:val="1002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Generación de informes</w:t>
      </w:r>
      <w:r>
        <w:t xml:space="preserve">, seleccione ronda/participante, método,</w:t>
      </w:r>
      <w:r>
        <w:t xml:space="preserve"> </w:t>
      </w:r>
      <w:r>
        <w:t xml:space="preserve">métrica, compatibilidad y</w:t>
      </w:r>
      <w:r>
        <w:t xml:space="preserve"> </w:t>
      </w:r>
      <w:r>
        <w:rPr>
          <w:rStyle w:val="VerbatimChar"/>
        </w:rPr>
        <w:t xml:space="preserve">k</w:t>
      </w:r>
      <w:r>
        <w:t xml:space="preserve">; complete identificación, genere vista previa y</w:t>
      </w:r>
      <w:r>
        <w:t xml:space="preserve"> </w:t>
      </w:r>
      <w:r>
        <w:t xml:space="preserve">descargue DOCX (CAP-17). Abra el archivo y revise contenido antes de emitirlo.</w:t>
      </w:r>
    </w:p>
    <w:p>
      <w:pPr>
        <w:pStyle w:val="CaptionedFigure"/>
      </w:pPr>
      <w:r>
        <w:drawing>
          <wp:inline>
            <wp:extent cx="5334000" cy="5545137"/>
            <wp:effectExtent b="0" l="0" r="0" t="0"/>
            <wp:docPr descr="CAP-02. Carga válida." title="" id="13" name="Picture"/>
            <a:graphic>
              <a:graphicData uri="http://schemas.openxmlformats.org/drawingml/2006/picture">
                <pic:pic>
                  <pic:nvPicPr>
                    <pic:cNvPr descr="../../00_evidencia_visual/capturas/CAP-02_carga_vali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5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CAP-02. Carga válida.</w:t>
      </w:r>
    </w:p>
    <w:p>
      <w:pPr>
        <w:pStyle w:val="BodyText"/>
      </w:pPr>
      <w:r>
        <w:rPr>
          <w:b/>
          <w:bCs/>
        </w:rPr>
        <w:t xml:space="preserve">Figura CAP-02.</w:t>
      </w:r>
      <w:r>
        <w:t xml:space="preserve"> </w:t>
      </w:r>
      <w:r>
        <w:t xml:space="preserve">No continúe hasta que los tres grupos aparezcan cargados y</w:t>
      </w:r>
      <w:r>
        <w:t xml:space="preserve"> </w:t>
      </w:r>
      <w:r>
        <w:t xml:space="preserve">la referencia corresponda a la modalidad elegida.</w:t>
      </w:r>
    </w:p>
    <w:p>
      <w:pPr>
        <w:pStyle w:val="CaptionedFigure"/>
      </w:pPr>
      <w:r>
        <w:drawing>
          <wp:inline>
            <wp:extent cx="5334000" cy="10882841"/>
            <wp:effectExtent b="0" l="0" r="0" t="0"/>
            <wp:docPr descr="CAP-15. Informe global." title="" id="16" name="Picture"/>
            <a:graphic>
              <a:graphicData uri="http://schemas.openxmlformats.org/drawingml/2006/picture">
                <pic:pic>
                  <pic:nvPicPr>
                    <pic:cNvPr descr="../../00_evidencia_visual/capturas/CAP-15_informe_global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82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CAP-15. Informe global.</w:t>
      </w:r>
    </w:p>
    <w:p>
      <w:pPr>
        <w:pStyle w:val="BodyText"/>
      </w:pPr>
      <w:r>
        <w:rPr>
          <w:b/>
          <w:bCs/>
        </w:rPr>
        <w:t xml:space="preserve">Figura CAP-15.</w:t>
      </w:r>
      <w:r>
        <w:t xml:space="preserve"> </w:t>
      </w:r>
      <w:r>
        <w:t xml:space="preserve">Los colores resumen desempeño; confirme el valor numérico,</w:t>
      </w:r>
      <w:r>
        <w:t xml:space="preserve"> </w:t>
      </w:r>
      <w:r>
        <w:t xml:space="preserve">método y métrica antes de concluir.</w:t>
      </w:r>
    </w:p>
    <w:p>
      <w:pPr>
        <w:pStyle w:val="CaptionedFigure"/>
      </w:pPr>
      <w:r>
        <w:drawing>
          <wp:inline>
            <wp:extent cx="5334000" cy="6837891"/>
            <wp:effectExtent b="0" l="0" r="0" t="0"/>
            <wp:docPr descr="CAP-17. Generación de informes." title="" id="19" name="Picture"/>
            <a:graphic>
              <a:graphicData uri="http://schemas.openxmlformats.org/drawingml/2006/picture">
                <pic:pic>
                  <pic:nvPicPr>
                    <pic:cNvPr descr="../../00_evidencia_visual/capturas/CAP-17_generacion_inform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7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CAP-17. Generación de informes.</w:t>
      </w:r>
    </w:p>
    <w:p>
      <w:pPr>
        <w:pStyle w:val="BodyText"/>
      </w:pPr>
      <w:r>
        <w:rPr>
          <w:b/>
          <w:bCs/>
        </w:rPr>
        <w:t xml:space="preserve">Figura CAP-17.</w:t>
      </w:r>
      <w:r>
        <w:t xml:space="preserve"> </w:t>
      </w:r>
      <w:r>
        <w:t xml:space="preserve">Complete identificación y parámetros; la descarga disponible</w:t>
      </w:r>
      <w:r>
        <w:t xml:space="preserve"> </w:t>
      </w:r>
      <w:r>
        <w:t xml:space="preserve">es Word (DOCX).</w:t>
      </w:r>
    </w:p>
    <w:bookmarkEnd w:id="21"/>
    <w:bookmarkStart w:id="22" w:name="interpretación-mínima"/>
    <w:p>
      <w:pPr>
        <w:pStyle w:val="Heading1"/>
      </w:pPr>
      <w:r>
        <w:t xml:space="preserve">Interpretación mínima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Homogéneo/estable</w:t>
            </w:r>
          </w:p>
        </w:tc>
        <w:tc>
          <w:tcPr/>
          <w:p>
            <w:pPr>
              <w:pStyle w:val="Compact"/>
            </w:pPr>
            <w:r>
              <w:t xml:space="preserve">Cumple el criterio implementado para esa combinación</w:t>
            </w:r>
          </w:p>
        </w:tc>
        <w:tc>
          <w:tcPr/>
          <w:p>
            <w:pPr>
              <w:pStyle w:val="Compact"/>
            </w:pPr>
            <w:r>
              <w:t xml:space="preserve">Registrar método y 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Atípico Grubbs</w:t>
            </w:r>
          </w:p>
        </w:tc>
        <w:tc>
          <w:tcPr/>
          <w:p>
            <w:pPr>
              <w:pStyle w:val="Compact"/>
            </w:pPr>
            <w:r>
              <w:t xml:space="preserve">Resultado estadísticamente señalado</w:t>
            </w:r>
          </w:p>
        </w:tc>
        <w:tc>
          <w:tcPr/>
          <w:p>
            <w:pPr>
              <w:pStyle w:val="Compact"/>
            </w:pPr>
            <w:r>
              <w:t xml:space="preserve">Investigar; no excluir sin regla aprobada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z, z’, zeta con</w:t>
            </w:r>
            <w:r>
              <w:t xml:space="preserve"> </w:t>
            </w:r>
            <w:r>
              <w:rPr>
                <w:rStyle w:val="VerbatimChar"/>
              </w:rPr>
              <w:t xml:space="preserve">|puntaje| ≤ 2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  <w:tc>
          <w:tcPr/>
          <w:p>
            <w:pPr>
              <w:pStyle w:val="Compact"/>
            </w:pPr>
            <w:r>
              <w:t xml:space="preserve">Conservar trazabilidad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&lt; |puntaje| &lt; 3</w:t>
            </w:r>
          </w:p>
        </w:tc>
        <w:tc>
          <w:tcPr/>
          <w:p>
            <w:pPr>
              <w:pStyle w:val="Compact"/>
            </w:pPr>
            <w:r>
              <w:t xml:space="preserve">Cuestionable</w:t>
            </w:r>
          </w:p>
        </w:tc>
        <w:tc>
          <w:tcPr/>
          <w:p>
            <w:pPr>
              <w:pStyle w:val="Compact"/>
            </w:pPr>
            <w:r>
              <w:t xml:space="preserve">Revisar método y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|puntaje| ≥ 3</w:t>
            </w:r>
          </w:p>
        </w:tc>
        <w:tc>
          <w:tcPr/>
          <w:p>
            <w:pPr>
              <w:pStyle w:val="Compact"/>
            </w:pPr>
            <w:r>
              <w:t xml:space="preserve">No satisfactorio</w:t>
            </w:r>
          </w:p>
        </w:tc>
        <w:tc>
          <w:tcPr/>
          <w:p>
            <w:pPr>
              <w:pStyle w:val="Compact"/>
            </w:pPr>
            <w:r>
              <w:t xml:space="preserve">Investigar y documentar 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con</w:t>
            </w:r>
            <w:r>
              <w:t xml:space="preserve"> </w:t>
            </w:r>
            <w:r>
              <w:rPr>
                <w:rStyle w:val="VerbatimChar"/>
              </w:rPr>
              <w:t xml:space="preserve">|En| ≤ 1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  <w:tc>
          <w:tcPr/>
          <w:p>
            <w:pPr>
              <w:pStyle w:val="Compact"/>
            </w:pPr>
            <w:r>
              <w:t xml:space="preserve">Confirmar incertidumbres y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calculable con entradas actuales</w:t>
            </w:r>
          </w:p>
        </w:tc>
        <w:tc>
          <w:tcPr/>
          <w:p>
            <w:pPr>
              <w:pStyle w:val="Compact"/>
            </w:pPr>
            <w:r>
              <w:t xml:space="preserve">Corregir datos; no tratar como cero</w:t>
            </w:r>
          </w:p>
        </w:tc>
      </w:tr>
    </w:tbl>
    <w:bookmarkEnd w:id="22"/>
    <w:bookmarkStart w:id="23" w:name="problemas-frecuentes"/>
    <w:p>
      <w:pPr>
        <w:pStyle w:val="Heading1"/>
      </w:pPr>
      <w:r>
        <w:t xml:space="preserve">Problemas frecuentes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</w:pPr>
            <w:r>
              <w:t xml:space="preserve">Acción recomendada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al cargar (CAP-18)</w:t>
            </w:r>
          </w:p>
        </w:tc>
        <w:tc>
          <w:tcPr/>
          <w:p>
            <w:pPr>
              <w:pStyle w:val="Compact"/>
            </w:pPr>
            <w:r>
              <w:t xml:space="preserve">CSV vacío, columnas o tipos incompatibles</w:t>
            </w:r>
          </w:p>
        </w:tc>
        <w:tc>
          <w:tcPr/>
          <w:p>
            <w:pPr>
              <w:pStyle w:val="Compact"/>
            </w:pPr>
            <w:r>
              <w:t xml:space="preserve">Comparar con datos demo y corregir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aparecen selectores</w:t>
            </w:r>
          </w:p>
        </w:tc>
        <w:tc>
          <w:tcPr/>
          <w:p>
            <w:pPr>
              <w:pStyle w:val="Compact"/>
            </w:pPr>
            <w:r>
              <w:t xml:space="preserve">Falta un archivo o combinación común</w:t>
            </w:r>
          </w:p>
        </w:tc>
        <w:tc>
          <w:tcPr/>
          <w:p>
            <w:pPr>
              <w:pStyle w:val="Compact"/>
            </w:pPr>
            <w:r>
              <w:t xml:space="preserve">Revisar estado y claves analito/nivel/esquema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 o En es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Incertidumbre o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ausente/no válido</w:t>
            </w:r>
          </w:p>
        </w:tc>
        <w:tc>
          <w:tcPr/>
          <w:p>
            <w:pPr>
              <w:pStyle w:val="Compact"/>
            </w:pPr>
            <w:r>
              <w:t xml:space="preserve">Completar</w:t>
            </w:r>
            <w:r>
              <w:t xml:space="preserve"> </w:t>
            </w:r>
            <w:r>
              <w:rPr>
                <w:rStyle w:val="VerbatimChar"/>
              </w:rPr>
              <w:t xml:space="preserve">u_value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u_exp</w:t>
            </w:r>
            <w:r>
              <w:t xml:space="preserve">/</w:t>
            </w:r>
            <w:r>
              <w:rPr>
                <w:rStyle w:val="VerbatimChar"/>
              </w:rPr>
              <w:t xml:space="preserve">U(xi)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no se habilita</w:t>
            </w:r>
          </w:p>
        </w:tc>
        <w:tc>
          <w:tcPr/>
          <w:p>
            <w:pPr>
              <w:pStyle w:val="Compact"/>
            </w:pPr>
            <w:r>
              <w:t xml:space="preserve">Puntajes no calculados o parámetros incompletos</w:t>
            </w:r>
          </w:p>
        </w:tc>
        <w:tc>
          <w:tcPr/>
          <w:p>
            <w:pPr>
              <w:pStyle w:val="Compact"/>
            </w:pPr>
            <w:r>
              <w:t xml:space="preserve">Ejecutar puntajes y completar identificación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se ajusta mal</w:t>
            </w:r>
          </w:p>
        </w:tc>
        <w:tc>
          <w:tcPr/>
          <w:p>
            <w:pPr>
              <w:pStyle w:val="Compact"/>
            </w:pPr>
            <w:r>
              <w:t xml:space="preserve">Diagnóstico DT en pestaña oculta</w:t>
            </w:r>
          </w:p>
        </w:tc>
        <w:tc>
          <w:tcPr/>
          <w:p>
            <w:pPr>
              <w:pStyle w:val="Compact"/>
            </w:pPr>
            <w:r>
              <w:t xml:space="preserve">Mostrar pestaña o redimensionar; revalidar tabla</w:t>
            </w:r>
          </w:p>
        </w:tc>
      </w:tr>
    </w:tbl>
    <w:bookmarkEnd w:id="23"/>
    <w:bookmarkStart w:id="24" w:name="alcance-y-trazabilidad"/>
    <w:p>
      <w:pPr>
        <w:pStyle w:val="Heading1"/>
      </w:pPr>
      <w:r>
        <w:t xml:space="preserve">Alcance y trazabilidad</w:t>
      </w:r>
    </w:p>
    <w:p>
      <w:pPr>
        <w:pStyle w:val="FirstParagraph"/>
      </w:pPr>
      <w:r>
        <w:t xml:space="preserve">Los cálculos se ejecutan con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ptcalc/</w:t>
      </w:r>
      <w:r>
        <w:t xml:space="preserve">;</w:t>
      </w:r>
      <w:r>
        <w:t xml:space="preserve"> </w:t>
      </w:r>
      <w:r>
        <w:rPr>
          <w:rStyle w:val="VerbatimChar"/>
        </w:rPr>
        <w:t xml:space="preserve">app_v06.R</w:t>
      </w:r>
      <w:r>
        <w:t xml:space="preserve"> </w:t>
      </w:r>
      <w:r>
        <w:t xml:space="preserve">es histórico. Las</w:t>
      </w:r>
      <w:r>
        <w:t xml:space="preserve"> </w:t>
      </w:r>
      <w:r>
        <w:t xml:space="preserve">capturas y sus hashes están en</w:t>
      </w:r>
      <w:r>
        <w:t xml:space="preserve"> </w:t>
      </w:r>
      <w:r>
        <w:rPr>
          <w:rStyle w:val="VerbatimChar"/>
        </w:rPr>
        <w:t xml:space="preserve">../../00_evidencia_visual/indice_capturas.md</w:t>
      </w:r>
      <w:r>
        <w:t xml:space="preserve">.</w:t>
      </w:r>
      <w:r>
        <w:t xml:space="preserve"> </w:t>
      </w:r>
      <w:r>
        <w:t xml:space="preserve">La aplicación apoya la evaluación, pero no sustituye aprobación técnica,</w:t>
      </w:r>
      <w:r>
        <w:t xml:space="preserve"> </w:t>
      </w:r>
      <w:r>
        <w:t xml:space="preserve">control de datos ni revisión normativa. Fórmulas detalladas: E03 y E04.</w:t>
      </w:r>
    </w:p>
    <w:bookmarkEnd w:id="24"/>
    <w:bookmarkStart w:id="25" w:name="historial-de-cambios"/>
    <w:p>
      <w:pPr>
        <w:pStyle w:val="Heading1"/>
      </w:pPr>
      <w:r>
        <w:t xml:space="preserve">Historial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Aprobación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  <w:tc>
          <w:tcPr/>
          <w:p>
            <w:pPr>
              <w:pStyle w:val="Compact"/>
            </w:pPr>
            <w:r>
              <w:t xml:space="preserve">Manual de</w:t>
            </w:r>
            <w:r>
              <w:t xml:space="preserve"> </w:t>
            </w:r>
            <w:r>
              <w:rPr>
                <w:rStyle w:val="VerbatimChar"/>
              </w:rPr>
              <w:t xml:space="preserve">app_v06.R</w:t>
            </w:r>
          </w:p>
        </w:tc>
        <w:tc>
          <w:tcPr/>
          <w:p>
            <w:pPr>
              <w:pStyle w:val="Compact"/>
            </w:pPr>
            <w: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Flujo ciudadano completo de</w:t>
            </w:r>
            <w:r>
              <w:t xml:space="preserve"> </w:t>
            </w: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Pendiente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del aplicativo PT</dc:title>
  <dc:creator/>
  <dc:language>es-CO</dc:language>
  <cp:keywords/>
  <dcterms:created xsi:type="dcterms:W3CDTF">2026-07-14T19:30:15Z</dcterms:created>
  <dcterms:modified xsi:type="dcterms:W3CDTF">2026-07-14T19:30:15Z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Usuario y operación</vt:lpwstr>
  </property>
  <property fmtid="{D5CDD505-2E9C-101B-9397-08002B2CF9AE}" pid="3" name="date">
    <vt:lpwstr>2026-07-14</vt:lpwstr>
  </property>
  <property fmtid="{D5CDD505-2E9C-101B-9397-08002B2CF9AE}" pid="4" name="deliverable">
    <vt:lpwstr>E06</vt:lpwstr>
  </property>
  <property fmtid="{D5CDD505-2E9C-101B-9397-08002B2CF9AE}" pid="5" name="source_commit">
    <vt:lpwstr>c7200b1</vt:lpwstr>
  </property>
  <property fmtid="{D5CDD505-2E9C-101B-9397-08002B2CF9AE}" pid="6" name="status">
    <vt:lpwstr>Vigente verificado</vt:lpwstr>
  </property>
  <property fmtid="{D5CDD505-2E9C-101B-9397-08002B2CF9AE}" pid="7" name="subtitle">
    <vt:lpwstr>Entregable E06 — Operación y lógica</vt:lpwstr>
  </property>
  <property fmtid="{D5CDD505-2E9C-101B-9397-08002B2CF9AE}" pid="8" name="version">
    <vt:lpwstr>2.0</vt:lpwstr>
  </property>
</Properties>
</file>