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 de lectura de tablas y tableros</w:t>
      </w:r>
    </w:p>
    <w:p>
      <w:pPr>
        <w:pStyle w:val="Subtitle"/>
      </w:pPr>
      <w:r>
        <w:t xml:space="preserve">Entregable E07 — Dashboards</w:t>
      </w:r>
    </w:p>
    <w:p>
      <w:pPr>
        <w:pStyle w:val="Date"/>
      </w:pPr>
      <w:r>
        <w:t xml:space="preserve">2026-07-14</w:t>
      </w:r>
    </w:p>
    <w:bookmarkStart w:id="9" w:name="ficha-de-control-documental"/>
    <w:p>
      <w:pPr>
        <w:pStyle w:val="Heading1"/>
      </w:pPr>
      <w:r>
        <w:t xml:space="preserve">Ficha de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DOC-E07-USR-01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 controlada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07_dashboards/md/documentacion_dashboards.md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Autoridad funcional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07_dashboards/documentacion_dashboards.docx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técnica</w:t>
            </w:r>
          </w:p>
        </w:tc>
        <w:tc>
          <w:tcPr/>
          <w:p>
            <w:pPr>
              <w:pStyle w:val="Compact"/>
            </w:pPr>
            <w:r>
              <w:t xml:space="preserve">Completada; aprobación contractual pendiente</w:t>
            </w:r>
          </w:p>
        </w:tc>
      </w:tr>
    </w:tbl>
    <w:bookmarkEnd w:id="9"/>
    <w:bookmarkStart w:id="10" w:name="cómo-leer-un-tablero"/>
    <w:p>
      <w:pPr>
        <w:pStyle w:val="Heading1"/>
      </w:pPr>
      <w:r>
        <w:t xml:space="preserve">Cómo leer un tablero</w:t>
      </w:r>
    </w:p>
    <w:p>
      <w:pPr>
        <w:pStyle w:val="FirstParagraph"/>
      </w:pPr>
      <w:r>
        <w:t xml:space="preserve">Primero confirme analito, nivel, esquema, método y métrica. Después lea el valor</w:t>
      </w:r>
      <w:r>
        <w:t xml:space="preserve"> </w:t>
      </w:r>
      <w:r>
        <w:t xml:space="preserve">numérico y finalmente el color o clasificación. Una tabla puede ordenarse,</w:t>
      </w:r>
      <w:r>
        <w:t xml:space="preserve"> </w:t>
      </w:r>
      <w:r>
        <w:t xml:space="preserve">filtrarse o paginarse; una gráfica Plotly permite mostrar valores al pasar el</w:t>
      </w:r>
      <w:r>
        <w:t xml:space="preserve"> </w:t>
      </w:r>
      <w:r>
        <w:t xml:space="preserve">cursor. Un filtro cambia la vista, no los datos originales.</w:t>
      </w:r>
    </w:p>
    <w:bookmarkEnd w:id="10"/>
    <w:bookmarkStart w:id="23" w:name="vistas-vigentes"/>
    <w:p>
      <w:pPr>
        <w:pStyle w:val="Heading1"/>
      </w:pPr>
      <w:r>
        <w:t xml:space="preserve">Vistas vigentes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Vista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  <w:tc>
          <w:tcPr/>
          <w:p>
            <w:pPr>
              <w:pStyle w:val="Compact"/>
            </w:pPr>
            <w:r>
              <w:t xml:space="preserve">Qué comprobar</w:t>
            </w:r>
          </w:p>
        </w:tc>
        <w:tc>
          <w:tcPr/>
          <w:p>
            <w:pPr>
              <w:pStyle w:val="Compact"/>
            </w:pPr>
            <w:r>
              <w:t xml:space="preserve">Advertencia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Homogeneidad</w:t>
            </w:r>
          </w:p>
        </w:tc>
        <w:tc>
          <w:tcPr/>
          <w:p>
            <w:pPr>
              <w:pStyle w:val="Compact"/>
            </w:pPr>
            <w:r>
              <w:t xml:space="preserve">Conclusiones MADe/nIQR, ANOVA y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, criterio, unidades</w:t>
            </w:r>
          </w:p>
        </w:tc>
        <w:tc>
          <w:tcPr/>
          <w:p>
            <w:pPr>
              <w:pStyle w:val="Compact"/>
            </w:pPr>
            <w:r>
              <w:t xml:space="preserve">No generalizar a otros niveles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Diferencias, criterios y datos</w:t>
            </w:r>
          </w:p>
        </w:tc>
        <w:tc>
          <w:tcPr/>
          <w:p>
            <w:pPr>
              <w:pStyle w:val="Compact"/>
            </w:pPr>
            <w:r>
              <w:t xml:space="preserve">Fecha/grupo y signo/magnitud</w:t>
            </w:r>
          </w:p>
        </w:tc>
        <w:tc>
          <w:tcPr/>
          <w:p>
            <w:pPr>
              <w:pStyle w:val="Compact"/>
            </w:pPr>
            <w:r>
              <w:t xml:space="preserve">Diferencia pequeña no prueba estabilidad por sí sola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H/E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u_hom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u_stab</w:t>
            </w:r>
          </w:p>
        </w:tc>
        <w:tc>
          <w:tcPr/>
          <w:p>
            <w:pPr>
              <w:pStyle w:val="Compact"/>
            </w:pPr>
            <w:r>
              <w:t xml:space="preserve">Misma unidad que el mensurando</w:t>
            </w:r>
          </w:p>
        </w:tc>
        <w:tc>
          <w:tcPr/>
          <w:p>
            <w:pPr>
              <w:pStyle w:val="Compact"/>
            </w:pPr>
            <w:r>
              <w:t xml:space="preserve">No confundir estándar y expandida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Atípicos</w:t>
            </w:r>
          </w:p>
        </w:tc>
        <w:tc>
          <w:tcPr/>
          <w:p>
            <w:pPr>
              <w:pStyle w:val="Compact"/>
            </w:pPr>
            <w:r>
              <w:t xml:space="preserve">Grubbs, histograma y caja</w:t>
            </w:r>
          </w:p>
        </w:tc>
        <w:tc>
          <w:tcPr/>
          <w:p>
            <w:pPr>
              <w:pStyle w:val="Compact"/>
            </w:pPr>
            <w:r>
              <w:t xml:space="preserve">Identidad y valor señalado</w:t>
            </w:r>
          </w:p>
        </w:tc>
        <w:tc>
          <w:tcPr/>
          <w:p>
            <w:pPr>
              <w:pStyle w:val="Compact"/>
            </w:pPr>
            <w:r>
              <w:t xml:space="preserve">Señal no equivale a exclusión 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Algoritmo A</w:t>
            </w:r>
          </w:p>
        </w:tc>
        <w:tc>
          <w:tcPr/>
          <w:p>
            <w:pPr>
              <w:pStyle w:val="Compact"/>
            </w:pPr>
            <w:r>
              <w:t xml:space="preserve">Entrada, histograma, iteraciones y winsorización</w:t>
            </w:r>
          </w:p>
        </w:tc>
        <w:tc>
          <w:tcPr/>
          <w:p>
            <w:pPr>
              <w:pStyle w:val="Compact"/>
            </w:pPr>
            <w:r>
              <w:t xml:space="preserve">Convergencia y número de resultados</w:t>
            </w:r>
          </w:p>
        </w:tc>
        <w:tc>
          <w:tcPr/>
          <w:p>
            <w:pPr>
              <w:pStyle w:val="Compact"/>
            </w:pPr>
            <w:r>
              <w:t xml:space="preserve">Winsorizar no modifica el archivo 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Consenso/compatibilidad</w:t>
            </w:r>
          </w:p>
        </w:tc>
        <w:tc>
          <w:tcPr/>
          <w:p>
            <w:pPr>
              <w:pStyle w:val="Compact"/>
            </w:pPr>
            <w:r>
              <w:t xml:space="preserve">Valor asignado y diferencias con referencia</w:t>
            </w:r>
          </w:p>
        </w:tc>
        <w:tc>
          <w:tcPr/>
          <w:p>
            <w:pPr>
              <w:pStyle w:val="Compact"/>
            </w:pPr>
            <w:r>
              <w:t xml:space="preserve">Método 2a/2b/3/4 e incertidumbre</w:t>
            </w:r>
          </w:p>
        </w:tc>
        <w:tc>
          <w:tcPr/>
          <w:p>
            <w:pPr>
              <w:pStyle w:val="Compact"/>
            </w:pPr>
            <w:r>
              <w:t xml:space="preserve">Métodos distintos no son intercambiables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Puntajes</w:t>
            </w:r>
          </w:p>
        </w:tc>
        <w:tc>
          <w:tcPr/>
          <w:p>
            <w:pPr>
              <w:pStyle w:val="Compact"/>
            </w:pPr>
            <w:r>
              <w:t xml:space="preserve">Parámetros, tabla, conteos y gráficos</w:t>
            </w:r>
          </w:p>
        </w:tc>
        <w:tc>
          <w:tcPr/>
          <w:p>
            <w:pPr>
              <w:pStyle w:val="Compact"/>
            </w:pPr>
            <w:r>
              <w:t xml:space="preserve">Fórmula, denominador y fronteras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N/A</w:t>
            </w:r>
            <w:r>
              <w:t xml:space="preserve"> </w:t>
            </w:r>
            <w:r>
              <w:t xml:space="preserve">no es satisfactorio ni cero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global</w:t>
            </w:r>
          </w:p>
        </w:tc>
        <w:tc>
          <w:tcPr/>
          <w:p>
            <w:pPr>
              <w:pStyle w:val="Compact"/>
            </w:pPr>
            <w:r>
              <w:t xml:space="preserve">Resultados y mapas de calor por método</w:t>
            </w:r>
          </w:p>
        </w:tc>
        <w:tc>
          <w:tcPr/>
          <w:p>
            <w:pPr>
              <w:pStyle w:val="Compact"/>
            </w:pPr>
            <w:r>
              <w:t xml:space="preserve">Leyenda, métrica y participante</w:t>
            </w:r>
          </w:p>
        </w:tc>
        <w:tc>
          <w:tcPr/>
          <w:p>
            <w:pPr>
              <w:pStyle w:val="Compact"/>
            </w:pPr>
            <w:r>
              <w:t xml:space="preserve">El color es un resumen, lea el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Detalle individual por combinación</w:t>
            </w:r>
          </w:p>
        </w:tc>
        <w:tc>
          <w:tcPr/>
          <w:p>
            <w:pPr>
              <w:pStyle w:val="Compact"/>
            </w:pPr>
            <w:r>
              <w:t xml:space="preserve">Identificador correcto</w:t>
            </w:r>
          </w:p>
        </w:tc>
        <w:tc>
          <w:tcPr/>
          <w:p>
            <w:pPr>
              <w:pStyle w:val="Compact"/>
            </w:pPr>
            <w:r>
              <w:t xml:space="preserve">Evite divulgar otros participantes</w:t>
            </w:r>
          </w:p>
        </w:tc>
      </w:tr>
    </w:tbl>
    <w:p>
      <w:pPr>
        <w:pStyle w:val="CaptionedFigure"/>
      </w:pPr>
      <w:r>
        <w:drawing>
          <wp:inline>
            <wp:extent cx="5334000" cy="10819870"/>
            <wp:effectExtent b="0" l="0" r="0" t="0"/>
            <wp:docPr descr="CAP-05. Resultado de homogeneidad." title="" id="12" name="Picture"/>
            <a:graphic>
              <a:graphicData uri="http://schemas.openxmlformats.org/drawingml/2006/picture">
                <pic:pic>
                  <pic:nvPicPr>
                    <pic:cNvPr descr="../../00_evidencia_visual/capturas/CAP-05_homogeneidad_resultado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1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CAP-05. Resultado de homogeneidad.</w:t>
      </w:r>
    </w:p>
    <w:p>
      <w:pPr>
        <w:pStyle w:val="BodyText"/>
      </w:pPr>
      <w:r>
        <w:rPr>
          <w:b/>
          <w:bCs/>
        </w:rPr>
        <w:t xml:space="preserve">Figura CAP-05.</w:t>
      </w:r>
      <w:r>
        <w:t xml:space="preserve"> </w:t>
      </w:r>
      <w:r>
        <w:t xml:space="preserve">Compare la conclusión con las estadísticas y el criterio del</w:t>
      </w:r>
      <w:r>
        <w:t xml:space="preserve"> </w:t>
      </w:r>
      <w:r>
        <w:t xml:space="preserve">mismo método; no mezcle columnas MADe y nIQR.</w:t>
      </w:r>
    </w:p>
    <w:p>
      <w:pPr>
        <w:pStyle w:val="CaptionedFigure"/>
      </w:pPr>
      <w:r>
        <w:drawing>
          <wp:inline>
            <wp:extent cx="5334000" cy="8275108"/>
            <wp:effectExtent b="0" l="0" r="0" t="0"/>
            <wp:docPr descr="CAP-08. Valores atípicos." title="" id="15" name="Picture"/>
            <a:graphic>
              <a:graphicData uri="http://schemas.openxmlformats.org/drawingml/2006/picture">
                <pic:pic>
                  <pic:nvPicPr>
                    <pic:cNvPr descr="../../00_evidencia_visual/capturas/CAP-08_valores_atipico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75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CAP-08. Valores atípicos.</w:t>
      </w:r>
    </w:p>
    <w:p>
      <w:pPr>
        <w:pStyle w:val="BodyText"/>
      </w:pPr>
      <w:r>
        <w:rPr>
          <w:b/>
          <w:bCs/>
        </w:rPr>
        <w:t xml:space="preserve">Figura CAP-08.</w:t>
      </w:r>
      <w:r>
        <w:t xml:space="preserve"> </w:t>
      </w:r>
      <w:r>
        <w:t xml:space="preserve">Use tabla y gráficos como señal para investigación. Preserve</w:t>
      </w:r>
      <w:r>
        <w:t xml:space="preserve"> </w:t>
      </w:r>
      <w:r>
        <w:t xml:space="preserve">el dato original y documente cualquier decisión posterior.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CAP-13. Puntajes z." title="" id="18" name="Picture"/>
            <a:graphic>
              <a:graphicData uri="http://schemas.openxmlformats.org/drawingml/2006/picture">
                <pic:pic>
                  <pic:nvPicPr>
                    <pic:cNvPr descr="../../00_evidencia_visual/capturas/CAP-13_puntajes_z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CAP-13. Puntajes z.</w:t>
      </w:r>
    </w:p>
    <w:p>
      <w:pPr>
        <w:pStyle w:val="BodyText"/>
      </w:pPr>
      <w:r>
        <w:rPr>
          <w:b/>
          <w:bCs/>
        </w:rPr>
        <w:t xml:space="preserve">Figura CAP-13.</w:t>
      </w:r>
      <w:r>
        <w:t xml:space="preserve"> </w:t>
      </w:r>
      <w:r>
        <w:t xml:space="preserve">Las líneas/fronteras apoyan la clasificación; los valores en</w:t>
      </w:r>
      <w:r>
        <w:t xml:space="preserve"> </w:t>
      </w:r>
      <w:r>
        <w:t xml:space="preserve">los límites se evalúan según E04.</w:t>
      </w:r>
    </w:p>
    <w:p>
      <w:pPr>
        <w:pStyle w:val="CaptionedFigure"/>
      </w:pPr>
      <w:r>
        <w:drawing>
          <wp:inline>
            <wp:extent cx="5334000" cy="10882841"/>
            <wp:effectExtent b="0" l="0" r="0" t="0"/>
            <wp:docPr descr="CAP-15. Informe global." title="" id="21" name="Picture"/>
            <a:graphic>
              <a:graphicData uri="http://schemas.openxmlformats.org/drawingml/2006/picture">
                <pic:pic>
                  <pic:nvPicPr>
                    <pic:cNvPr descr="../../00_evidencia_visual/capturas/CAP-15_informe_glob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2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CAP-15. Informe global.</w:t>
      </w:r>
    </w:p>
    <w:p>
      <w:pPr>
        <w:pStyle w:val="BodyText"/>
      </w:pPr>
      <w:r>
        <w:rPr>
          <w:b/>
          <w:bCs/>
        </w:rPr>
        <w:t xml:space="preserve">Figura CAP-15.</w:t>
      </w:r>
      <w:r>
        <w:t xml:space="preserve"> </w:t>
      </w:r>
      <w:r>
        <w:t xml:space="preserve">Seleccione una combinación y método antes de comparar filas o</w:t>
      </w:r>
      <w:r>
        <w:t xml:space="preserve"> </w:t>
      </w:r>
      <w:r>
        <w:t xml:space="preserve">participantes. Los mapas de calor no sustituyen la tabla descargable.</w:t>
      </w:r>
    </w:p>
    <w:bookmarkEnd w:id="23"/>
    <w:bookmarkStart w:id="24" w:name="uso-responsable"/>
    <w:p>
      <w:pPr>
        <w:pStyle w:val="Heading1"/>
      </w:pPr>
      <w:r>
        <w:t xml:space="preserve">Uso responsable</w:t>
      </w:r>
    </w:p>
    <w:p>
      <w:pPr>
        <w:pStyle w:val="Compact"/>
        <w:numPr>
          <w:ilvl w:val="0"/>
          <w:numId w:val="1001"/>
        </w:numPr>
      </w:pPr>
      <w:r>
        <w:t xml:space="preserve">Registre filtros y método cuando exporte o tome una decisión.</w:t>
      </w:r>
    </w:p>
    <w:p>
      <w:pPr>
        <w:pStyle w:val="Compact"/>
        <w:numPr>
          <w:ilvl w:val="0"/>
          <w:numId w:val="1001"/>
        </w:numPr>
      </w:pPr>
      <w:r>
        <w:t xml:space="preserve">No compare puntajes de métodos o incertidumbres diferentes sin explicitarlo.</w:t>
      </w:r>
    </w:p>
    <w:p>
      <w:pPr>
        <w:pStyle w:val="Compact"/>
        <w:numPr>
          <w:ilvl w:val="0"/>
          <w:numId w:val="1001"/>
        </w:numPr>
      </w:pPr>
      <w:r>
        <w:t xml:space="preserve">Revise</w:t>
      </w:r>
      <w:r>
        <w:t xml:space="preserve"> </w:t>
      </w:r>
      <w:r>
        <w:rPr>
          <w:rStyle w:val="VerbatimChar"/>
        </w:rPr>
        <w:t xml:space="preserve">N/A</w:t>
      </w:r>
      <w:r>
        <w:t xml:space="preserve">, celdas vacías y tamaños de muestra antes de calcular porcentajes.</w:t>
      </w:r>
    </w:p>
    <w:p>
      <w:pPr>
        <w:pStyle w:val="Compact"/>
        <w:numPr>
          <w:ilvl w:val="0"/>
          <w:numId w:val="1001"/>
        </w:numPr>
      </w:pPr>
      <w:r>
        <w:t xml:space="preserve">Confirme que las unidades sean homogéneas y no use el color como única prueba.</w:t>
      </w:r>
    </w:p>
    <w:p>
      <w:pPr>
        <w:pStyle w:val="Compact"/>
        <w:numPr>
          <w:ilvl w:val="0"/>
          <w:numId w:val="1001"/>
        </w:numPr>
      </w:pPr>
      <w:r>
        <w:t xml:space="preserve">En las vistas que ofrecen descarga, exporte el CSV cuando se requiera una</w:t>
      </w:r>
      <w:r>
        <w:t xml:space="preserve"> </w:t>
      </w:r>
      <w:r>
        <w:t xml:space="preserve">evidencia numérica auditable; en las demás, registre filtros y conserve el</w:t>
      </w:r>
      <w:r>
        <w:t xml:space="preserve"> </w:t>
      </w:r>
      <w:r>
        <w:t xml:space="preserve">informe autorizado.</w:t>
      </w:r>
    </w:p>
    <w:bookmarkEnd w:id="24"/>
    <w:bookmarkStart w:id="25" w:name="evidencia-y-límites"/>
    <w:p>
      <w:pPr>
        <w:pStyle w:val="Heading1"/>
      </w:pPr>
      <w:r>
        <w:t xml:space="preserve">Evidencia y límites</w:t>
      </w:r>
    </w:p>
    <w:p>
      <w:pPr>
        <w:pStyle w:val="FirstParagraph"/>
      </w:pPr>
      <w:r>
        <w:t xml:space="preserve">CAP-05, 06, 08 y 10 a 16 demuestran las vistas con datos demo. Metadatos y</w:t>
      </w:r>
      <w:r>
        <w:t xml:space="preserve"> </w:t>
      </w:r>
      <w:r>
        <w:t xml:space="preserve">SHA-256:</w:t>
      </w:r>
      <w:r>
        <w:t xml:space="preserve"> </w:t>
      </w:r>
      <w:r>
        <w:rPr>
          <w:rStyle w:val="VerbatimChar"/>
        </w:rPr>
        <w:t xml:space="preserve">../../00_evidencia_visual/indice_capturas.md</w:t>
      </w:r>
      <w:r>
        <w:t xml:space="preserve">.</w:t>
      </w:r>
      <w:r>
        <w:t xml:space="preserve"> </w:t>
      </w:r>
      <w:r>
        <w:rPr>
          <w:rStyle w:val="VerbatimChar"/>
        </w:rPr>
        <w:t xml:space="preserve">app_v07.R</w:t>
      </w:r>
      <w:r>
        <w:t xml:space="preserve"> </w:t>
      </w:r>
      <w:r>
        <w:t xml:space="preserve">y el</w:t>
      </w:r>
      <w:r>
        <w:t xml:space="preserve"> </w:t>
      </w:r>
      <w:r>
        <w:t xml:space="preserve">diagrama original son antecedentes, no autoridad. Esta guía explica lectura;</w:t>
      </w:r>
      <w:r>
        <w:t xml:space="preserve"> </w:t>
      </w:r>
      <w:r>
        <w:t xml:space="preserve">no declara validación normativa ni aprobación de resultados.</w:t>
      </w:r>
    </w:p>
    <w:bookmarkEnd w:id="25"/>
    <w:bookmarkStart w:id="26" w:name="historial-de-cambios"/>
    <w:p>
      <w:pPr>
        <w:pStyle w:val="Heading1"/>
      </w:pPr>
      <w:r>
        <w:t xml:space="preserve">Historial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Aprobación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Enlace provisional de evidencia</w:t>
            </w:r>
          </w:p>
        </w:tc>
        <w:tc>
          <w:tcPr/>
          <w:p>
            <w:pPr>
              <w:pStyle w:val="Compact"/>
            </w:pPr>
            <w:r>
              <w:t xml:space="preserve">Reemplazado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Guía narrativa completa de vistas vigentes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lectura de tablas y tableros</dc:title>
  <dc:creator/>
  <dc:language>es-CO</dc:language>
  <cp:keywords/>
  <dcterms:created xsi:type="dcterms:W3CDTF">2026-07-14T19:30:15Z</dcterms:created>
  <dcterms:modified xsi:type="dcterms:W3CDTF">2026-07-14T19:30:15Z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Usuario y operación</vt:lpwstr>
  </property>
  <property fmtid="{D5CDD505-2E9C-101B-9397-08002B2CF9AE}" pid="3" name="date">
    <vt:lpwstr>2026-07-14</vt:lpwstr>
  </property>
  <property fmtid="{D5CDD505-2E9C-101B-9397-08002B2CF9AE}" pid="4" name="deliverable">
    <vt:lpwstr>E07</vt:lpwstr>
  </property>
  <property fmtid="{D5CDD505-2E9C-101B-9397-08002B2CF9AE}" pid="5" name="source_commit">
    <vt:lpwstr>c7200b1</vt:lpwstr>
  </property>
  <property fmtid="{D5CDD505-2E9C-101B-9397-08002B2CF9AE}" pid="6" name="status">
    <vt:lpwstr>Vigente verificado</vt:lpwstr>
  </property>
  <property fmtid="{D5CDD505-2E9C-101B-9397-08002B2CF9AE}" pid="7" name="subtitle">
    <vt:lpwstr>Entregable E07 — Dashboards</vt:lpwstr>
  </property>
  <property fmtid="{D5CDD505-2E9C-101B-9397-08002B2CF9AE}" pid="8" name="version">
    <vt:lpwstr>1.0</vt:lpwstr>
  </property>
</Properties>
</file>