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glosario-de-términos"/>
    <w:p>
      <w:pPr>
        <w:pStyle w:val="Heading1"/>
      </w:pPr>
      <w:r>
        <w:t xml:space="preserve">Glosario de Términos</w:t>
      </w:r>
    </w:p>
    <w:p>
      <w:pPr>
        <w:pStyle w:val="FirstParagraph"/>
      </w:pPr>
      <w:r>
        <w:t xml:space="preserve">Este glosario proporciona definiciones y traducciones (español/inglés) para los términos utilizados en la aplicación de ensayos de aptitud (PT), el paquete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 </w:t>
      </w:r>
      <w:r>
        <w:t xml:space="preserve">y la documentación asociada.</w:t>
      </w:r>
    </w:p>
    <w:p>
      <w:r>
        <w:pict>
          <v:rect style="width:0;height:1.5pt" o:hralign="center" o:hrstd="t" o:hr="t"/>
        </w:pict>
      </w:r>
    </w:p>
    <w:bookmarkStart w:id="9" w:name="conceptos-fundamentales"/>
    <w:p>
      <w:pPr>
        <w:pStyle w:val="Heading2"/>
      </w:pPr>
      <w:r>
        <w:t xml:space="preserve">1. Conceptos Fundamentales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1454"/>
        <w:gridCol w:w="1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 (ES)</w:t>
            </w:r>
          </w:p>
        </w:tc>
        <w:tc>
          <w:tcPr/>
          <w:p>
            <w:pPr>
              <w:pStyle w:val="Compact"/>
            </w:pPr>
            <w:r>
              <w:t xml:space="preserve">Término (EN)</w:t>
            </w:r>
          </w:p>
        </w:tc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Ensayo de aptitud</w:t>
            </w:r>
          </w:p>
        </w:tc>
        <w:tc>
          <w:tcPr/>
          <w:p>
            <w:pPr>
              <w:pStyle w:val="Compact"/>
            </w:pPr>
            <w:r>
              <w:t xml:space="preserve">Proficiency testing (PT)</w:t>
            </w:r>
          </w:p>
        </w:tc>
        <w:tc>
          <w:tcPr/>
          <w:p>
            <w:pPr>
              <w:pStyle w:val="Compact"/>
            </w:pPr>
            <w:r>
              <w:t xml:space="preserve">PT</w:t>
            </w:r>
          </w:p>
        </w:tc>
        <w:tc>
          <w:tcPr/>
          <w:p>
            <w:pPr>
              <w:pStyle w:val="Compact"/>
            </w:pPr>
            <w:r>
              <w:t xml:space="preserve">Evaluación del desempeño de los participantes con respecto a criterios establecidos mediante comparaciones interlaboratorio.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Interlaboratorio</w:t>
            </w:r>
          </w:p>
        </w:tc>
        <w:tc>
          <w:tcPr/>
          <w:p>
            <w:pPr>
              <w:pStyle w:val="Compact"/>
            </w:pPr>
            <w:r>
              <w:t xml:space="preserve">Interlaboratory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Comparación entre múltiples laboratorios.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Participant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Laboratorio o entidad que envía resultados para su evaluación.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Proveedor de PT</w:t>
            </w:r>
          </w:p>
        </w:tc>
        <w:tc>
          <w:tcPr/>
          <w:p>
            <w:pPr>
              <w:pStyle w:val="Compact"/>
            </w:pPr>
            <w:r>
              <w:t xml:space="preserve">PT provider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Organización que realiza el ensayo de aptitud.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Organismo de Ensayos de Aptitud</w:t>
            </w:r>
          </w:p>
        </w:tc>
        <w:tc>
          <w:tcPr/>
          <w:p>
            <w:pPr>
              <w:pStyle w:val="Compact"/>
            </w:pPr>
            <w:r>
              <w:t xml:space="preserve">Proficiency Testing Body</w:t>
            </w:r>
          </w:p>
        </w:tc>
        <w:tc>
          <w:tcPr/>
          <w:p>
            <w:pPr>
              <w:pStyle w:val="Compact"/>
            </w:pPr>
            <w:r>
              <w:t xml:space="preserve">PTB</w:t>
            </w:r>
          </w:p>
        </w:tc>
        <w:tc>
          <w:tcPr/>
          <w:p>
            <w:pPr>
              <w:pStyle w:val="Compact"/>
            </w:pPr>
            <w:r>
              <w:t xml:space="preserve">La organización responsable del esquema de PT.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mediciones-y-datos"/>
    <w:p>
      <w:pPr>
        <w:pStyle w:val="Heading2"/>
      </w:pPr>
      <w:r>
        <w:t xml:space="preserve">2. Mediciones y Datos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1454"/>
        <w:gridCol w:w="1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 (ES)</w:t>
            </w:r>
          </w:p>
        </w:tc>
        <w:tc>
          <w:tcPr/>
          <w:p>
            <w:pPr>
              <w:pStyle w:val="Compact"/>
            </w:pPr>
            <w:r>
              <w:t xml:space="preserve">Término (EN)</w:t>
            </w:r>
          </w:p>
        </w:tc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Analito</w:t>
            </w:r>
          </w:p>
        </w:tc>
        <w:tc>
          <w:tcPr/>
          <w:p>
            <w:pPr>
              <w:pStyle w:val="Compact"/>
            </w:pPr>
            <w:r>
              <w:t xml:space="preserve">Pollutant / Analyte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La especie gaseosa o sustancia específica que se analiza (por ejemplo, CO, SO2, NO, etc.).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Nivel de concentración del analito (por ejemplo, bajo, medio, alto).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Ítem físico que se mide.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Ítem de ensayo de aptitud</w:t>
            </w:r>
          </w:p>
        </w:tc>
        <w:tc>
          <w:tcPr/>
          <w:p>
            <w:pPr>
              <w:pStyle w:val="Compact"/>
            </w:pPr>
            <w:r>
              <w:t xml:space="preserve">PT item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Unidad de muestra individual para el ensayo, a menudo utilizada en estudios de homogeneidad.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Réplica</w:t>
            </w:r>
          </w:p>
        </w:tc>
        <w:tc>
          <w:tcPr/>
          <w:p>
            <w:pPr>
              <w:pStyle w:val="Compact"/>
            </w:pPr>
            <w:r>
              <w:t xml:space="preserve">Replicate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Medición repetida en la misma muestra o ítem.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Resultado de la concentración medida.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reportado</w:t>
            </w:r>
          </w:p>
        </w:tc>
        <w:tc>
          <w:tcPr/>
          <w:p>
            <w:pPr>
              <w:pStyle w:val="Compact"/>
            </w:pPr>
            <w:r>
              <w:t xml:space="preserve">Reported value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Valor enviado por un participante para su evaluación.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t xml:space="preserve">Promedio aritmético de los valores.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t xml:space="preserve">Valor central cuando se ordenan los datos.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Desviación estándar</w:t>
            </w:r>
          </w:p>
        </w:tc>
        <w:tc>
          <w:tcPr/>
          <w:p>
            <w:pPr>
              <w:pStyle w:val="Compact"/>
            </w:pPr>
            <w:r>
              <w:t xml:space="preserve">Standard deviation</w:t>
            </w:r>
          </w:p>
        </w:tc>
        <w:tc>
          <w:tcPr/>
          <w:p>
            <w:pPr>
              <w:pStyle w:val="Compact"/>
            </w:pPr>
            <w:r>
              <w:t xml:space="preserve">s,</w:t>
            </w:r>
            <w:r>
              <w:t xml:space="preserve"> </w:t>
            </w:r>
            <m:oMath>
              <m:r>
                <m:t>σ</m:t>
              </m:r>
            </m:oMath>
          </w:p>
        </w:tc>
        <w:tc>
          <w:tcPr/>
          <w:p>
            <w:pPr>
              <w:pStyle w:val="Compact"/>
            </w:pPr>
            <w:r>
              <w:t xml:space="preserve">Medida de dispersión o propagación de los datos.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Varianza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Cuadrado de la desviación estándar.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 largo</w:t>
            </w:r>
          </w:p>
        </w:tc>
        <w:tc>
          <w:tcPr/>
          <w:p>
            <w:pPr>
              <w:pStyle w:val="Compact"/>
            </w:pPr>
            <w:r>
              <w:t xml:space="preserve">Long format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Estructura de datos donde cada fila representa una sola observación.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 ancho</w:t>
            </w:r>
          </w:p>
        </w:tc>
        <w:tc>
          <w:tcPr/>
          <w:p>
            <w:pPr>
              <w:pStyle w:val="Compact"/>
            </w:pPr>
            <w:r>
              <w:t xml:space="preserve">Wide format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Estructura de datos donde cada fila representa un participante con múltiples columnas para contaminantes/niveles.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valor-asignado"/>
    <w:p>
      <w:pPr>
        <w:pStyle w:val="Heading2"/>
      </w:pPr>
      <w:r>
        <w:t xml:space="preserve">3. Valor Asignado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1454"/>
        <w:gridCol w:w="1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 (ES)</w:t>
            </w:r>
          </w:p>
        </w:tc>
        <w:tc>
          <w:tcPr/>
          <w:p>
            <w:pPr>
              <w:pStyle w:val="Compact"/>
            </w:pPr>
            <w:r>
              <w:t xml:space="preserve">Término (EN)</w:t>
            </w:r>
          </w:p>
        </w:tc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asignado</w:t>
            </w:r>
          </w:p>
        </w:tc>
        <w:tc>
          <w:tcPr/>
          <w:p>
            <w:pPr>
              <w:pStyle w:val="Compact"/>
            </w:pPr>
            <w:r>
              <w:t xml:space="preserve">Assigned value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Valor de referencia utilizado para evaluar los resultados de los participantes.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de referencia</w:t>
            </w:r>
          </w:p>
        </w:tc>
        <w:tc>
          <w:tcPr/>
          <w:p>
            <w:pPr>
              <w:pStyle w:val="Compact"/>
            </w:pPr>
            <w:r>
              <w:t xml:space="preserve">Reference value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Valor determinado por un laboratorio de referencia o mediante formulación.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de consenso</w:t>
            </w:r>
          </w:p>
        </w:tc>
        <w:tc>
          <w:tcPr/>
          <w:p>
            <w:pPr>
              <w:pStyle w:val="Compact"/>
            </w:pPr>
            <w:r>
              <w:t xml:space="preserve">Consensus value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Media robusta derivada de los resultados de los participantes.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Laboratorio de referencia</w:t>
            </w:r>
          </w:p>
        </w:tc>
        <w:tc>
          <w:tcPr/>
          <w:p>
            <w:pPr>
              <w:pStyle w:val="Compact"/>
            </w:pPr>
            <w:r>
              <w:t xml:space="preserve">Reference laboratory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Un laboratorio con alto nivel metrológico utilizado para determinar el valor asignado.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Incertidumbre del valor asignado</w:t>
            </w:r>
          </w:p>
        </w:tc>
        <w:tc>
          <w:tcPr/>
          <w:p>
            <w:pPr>
              <w:pStyle w:val="Compact"/>
            </w:pPr>
            <w:r>
              <w:t xml:space="preserve">Assigned value uncertainty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x</m:t>
                  </m:r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Incertidumbre estándar asociada al valor asignado.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estadísticos-robustos"/>
    <w:p>
      <w:pPr>
        <w:pStyle w:val="Heading2"/>
      </w:pPr>
      <w:r>
        <w:t xml:space="preserve">4. Estadísticos Robustos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1454"/>
        <w:gridCol w:w="1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 (ES)</w:t>
            </w:r>
          </w:p>
        </w:tc>
        <w:tc>
          <w:tcPr/>
          <w:p>
            <w:pPr>
              <w:pStyle w:val="Compact"/>
            </w:pPr>
            <w:r>
              <w:t xml:space="preserve">Término (EN)</w:t>
            </w:r>
          </w:p>
        </w:tc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Estadístico robusto</w:t>
            </w:r>
          </w:p>
        </w:tc>
        <w:tc>
          <w:tcPr/>
          <w:p>
            <w:pPr>
              <w:pStyle w:val="Compact"/>
            </w:pPr>
            <w:r>
              <w:t xml:space="preserve">Robust statistic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Un estimador resistente a la influencia de los valores atípicos.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Algoritmo A</w:t>
            </w:r>
          </w:p>
        </w:tc>
        <w:tc>
          <w:tcPr/>
          <w:p>
            <w:pPr>
              <w:pStyle w:val="Compact"/>
            </w:pPr>
            <w:r>
              <w:t xml:space="preserve">Algorithm 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Método de estimación robusto iterativo descrito en el Anexo C de la norma ISO 13528.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robusta</w:t>
            </w:r>
          </w:p>
        </w:tc>
        <w:tc>
          <w:tcPr/>
          <w:p>
            <w:pPr>
              <w:pStyle w:val="Compact"/>
            </w:pPr>
            <w:r>
              <w:t xml:space="preserve">Robust mean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Media calculada utilizando estadísticos robustos (por ejemplo, Algoritmo A) para minimizar la influencia de los valores atípicos.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Desviación estándar robusta</w:t>
            </w:r>
          </w:p>
        </w:tc>
        <w:tc>
          <w:tcPr/>
          <w:p>
            <w:pPr>
              <w:pStyle w:val="Compact"/>
            </w:pPr>
            <w:r>
              <w:t xml:space="preserve">Robust standard deviation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Desviación estándar calculada utilizando estadísticos robustos.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nIQR</w:t>
            </w:r>
          </w:p>
        </w:tc>
        <w:tc>
          <w:tcPr/>
          <w:p>
            <w:pPr>
              <w:pStyle w:val="Compact"/>
            </w:pPr>
            <w:r>
              <w:t xml:space="preserve">Normalized IQR</w:t>
            </w:r>
          </w:p>
        </w:tc>
        <w:tc>
          <w:tcPr/>
          <w:p>
            <w:pPr>
              <w:pStyle w:val="Compact"/>
            </w:pPr>
            <w:r>
              <w:t xml:space="preserve">nIQR</w:t>
            </w:r>
          </w:p>
        </w:tc>
        <w:tc>
          <w:tcPr/>
          <w:p>
            <w:pPr>
              <w:pStyle w:val="Compact"/>
            </w:pPr>
            <m:oMath>
              <m:r>
                <m:t>0.7413</m:t>
              </m:r>
              <m:r>
                <m:rPr>
                  <m:sty m:val="p"/>
                </m:rPr>
                <m:t>×</m:t>
              </m:r>
              <m:r>
                <m:t>I</m:t>
              </m:r>
              <m:r>
                <m:t>Q</m:t>
              </m:r>
              <m:r>
                <m:t>R</m:t>
              </m:r>
            </m:oMath>
            <w:r>
              <w:t xml:space="preserve"> </w:t>
            </w:r>
            <w:r>
              <w:t xml:space="preserve">, una estimación robusta de la desviación estándar.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MADe</w:t>
            </w:r>
          </w:p>
        </w:tc>
        <w:tc>
          <w:tcPr/>
          <w:p>
            <w:pPr>
              <w:pStyle w:val="Compact"/>
            </w:pPr>
            <w:r>
              <w:t xml:space="preserve">Scaled MAD</w:t>
            </w:r>
          </w:p>
        </w:tc>
        <w:tc>
          <w:tcPr/>
          <w:p>
            <w:pPr>
              <w:pStyle w:val="Compact"/>
            </w:pPr>
            <w:r>
              <w:t xml:space="preserve">MADe</w:t>
            </w:r>
          </w:p>
        </w:tc>
        <w:tc>
          <w:tcPr/>
          <w:p>
            <w:pPr>
              <w:pStyle w:val="Compact"/>
            </w:pPr>
            <m:oMath>
              <m:r>
                <m:t>1.483</m:t>
              </m:r>
              <m:r>
                <m:rPr>
                  <m:sty m:val="p"/>
                </m:rPr>
                <m:t>×</m:t>
              </m:r>
              <m:r>
                <m:t>M</m:t>
              </m:r>
              <m:r>
                <m:t>A</m:t>
              </m:r>
              <m:r>
                <m:t>D</m:t>
              </m:r>
            </m:oMath>
            <w:r>
              <w:t xml:space="preserve">, una estimación robusta de la desviación estándar.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Rango intercuartílico</w:t>
            </w:r>
          </w:p>
        </w:tc>
        <w:tc>
          <w:tcPr/>
          <w:p>
            <w:pPr>
              <w:pStyle w:val="Compact"/>
            </w:pPr>
            <w:r>
              <w:t xml:space="preserve">Interquartile range</w:t>
            </w:r>
          </w:p>
        </w:tc>
        <w:tc>
          <w:tcPr/>
          <w:p>
            <w:pPr>
              <w:pStyle w:val="Compact"/>
            </w:pPr>
            <w:r>
              <w:t xml:space="preserve">IQR</w:t>
            </w:r>
          </w:p>
        </w:tc>
        <w:tc>
          <w:tcPr/>
          <w:p>
            <w:pPr>
              <w:pStyle w:val="Compact"/>
            </w:pPr>
            <w:r>
              <w:t xml:space="preserve">Diferencia entre el tercer y primer cuartil (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Desviación absoluta mediana</w:t>
            </w:r>
          </w:p>
        </w:tc>
        <w:tc>
          <w:tcPr/>
          <w:p>
            <w:pPr>
              <w:pStyle w:val="Compact"/>
            </w:pPr>
            <w:r>
              <w:t xml:space="preserve">Median absolute deviation</w:t>
            </w:r>
          </w:p>
        </w:tc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Mediana de las desviaciones absolutas respecto a la mediana: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median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median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Factor de influencia asignado a cada observación en el Algoritmo 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Convergencia</w:t>
            </w:r>
          </w:p>
        </w:tc>
        <w:tc>
          <w:tcPr/>
          <w:p>
            <w:pPr>
              <w:pStyle w:val="Compact"/>
            </w:pPr>
            <w:r>
              <w:t xml:space="preserve">Convergence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El punto donde los cálculos iterativos se estabilizan.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homogeneidad-y-estabilidad"/>
    <w:p>
      <w:pPr>
        <w:pStyle w:val="Heading2"/>
      </w:pPr>
      <w:r>
        <w:t xml:space="preserve">5. Homogeneidad y Estabilidad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1454"/>
        <w:gridCol w:w="1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 (ES)</w:t>
            </w:r>
          </w:p>
        </w:tc>
        <w:tc>
          <w:tcPr/>
          <w:p>
            <w:pPr>
              <w:pStyle w:val="Compact"/>
            </w:pPr>
            <w:r>
              <w:t xml:space="preserve">Término (EN)</w:t>
            </w:r>
          </w:p>
        </w:tc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Homogeneidad</w:t>
            </w:r>
          </w:p>
        </w:tc>
        <w:tc>
          <w:tcPr/>
          <w:p>
            <w:pPr>
              <w:pStyle w:val="Compact"/>
            </w:pPr>
            <w:r>
              <w:t xml:space="preserve">Homogeneity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Uniformidad de las propiedades en las diferentes unidades (ítems) de un lote.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Stability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Constancia de las propiedades de un material durante un periodo especificado.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Desviación entre muestras</w:t>
            </w:r>
          </w:p>
        </w:tc>
        <w:tc>
          <w:tcPr/>
          <w:p>
            <w:pPr>
              <w:pStyle w:val="Compact"/>
            </w:pPr>
            <w:r>
              <w:t xml:space="preserve">Between-sample std dev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Componente de variación atribuido a las diferencias entre ítems.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Desviación intra-muestra</w:t>
            </w:r>
          </w:p>
        </w:tc>
        <w:tc>
          <w:tcPr/>
          <w:p>
            <w:pPr>
              <w:pStyle w:val="Compact"/>
            </w:pPr>
            <w:r>
              <w:t xml:space="preserve">Within-sample std dev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Componente de variación atribuido a la repetibilidad de la medición dentro de los ítems.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Varianza entre muestras</w:t>
            </w:r>
          </w:p>
        </w:tc>
        <w:tc>
          <w:tcPr/>
          <w:p>
            <w:pPr>
              <w:pStyle w:val="Compact"/>
            </w:pPr>
            <w:r>
              <w:t xml:space="preserve">Between-sample variance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s</m:t>
                  </m:r>
                </m:e>
                <m:sub>
                  <m:r>
                    <m:t>s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Cuadrado de la desviación estándar entre muestras.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Varianza dentro de las muestras</w:t>
            </w:r>
          </w:p>
        </w:tc>
        <w:tc>
          <w:tcPr/>
          <w:p>
            <w:pPr>
              <w:pStyle w:val="Compact"/>
            </w:pPr>
            <w:r>
              <w:t xml:space="preserve">Within-sample variance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s</m:t>
                  </m:r>
                </m:e>
                <m:sub>
                  <m:r>
                    <m:t>w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Cuadrado de la desviación estándar dentro de las muestras.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 de homogeneidad</w:t>
            </w:r>
          </w:p>
        </w:tc>
        <w:tc>
          <w:tcPr/>
          <w:p>
            <w:pPr>
              <w:pStyle w:val="Compact"/>
            </w:pPr>
            <w:r>
              <w:t xml:space="preserve">Homogeneity criterion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Límite de aceptación, típicamente definido como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×</m:t>
              </m:r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 expandido</w:t>
            </w:r>
          </w:p>
        </w:tc>
        <w:tc>
          <w:tcPr/>
          <w:p>
            <w:pPr>
              <w:pStyle w:val="Compact"/>
            </w:pPr>
            <w:r>
              <w:t xml:space="preserve">Expanded criterion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Umbral calculado teniendo en cuenta la incertidumbre de medida: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1.88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w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×</m:t>
                  </m:r>
                  <m:r>
                    <m:t>1.01</m:t>
                  </m:r>
                </m:e>
              </m:rad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Incertidumbre de homogeneidad</w:t>
            </w:r>
          </w:p>
        </w:tc>
        <w:tc>
          <w:tcPr/>
          <w:p>
            <w:pPr>
              <w:pStyle w:val="Compact"/>
            </w:pPr>
            <w:r>
              <w:t xml:space="preserve">Homogeneity uncertainty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Contribución de incertidumbre derivada de una posible falta de homogeneidad.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Incertidumbre de estabilidad</w:t>
            </w:r>
          </w:p>
        </w:tc>
        <w:tc>
          <w:tcPr/>
          <w:p>
            <w:pPr>
              <w:pStyle w:val="Compact"/>
            </w:pPr>
            <w:r>
              <w:t xml:space="preserve">Stability uncertainty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Contribución de incertidumbre derivada de una posible inestabilidad.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Diferencia hom-estab</w:t>
            </w:r>
          </w:p>
        </w:tc>
        <w:tc>
          <w:tcPr/>
          <w:p>
            <w:pPr>
              <w:pStyle w:val="Compact"/>
            </w:pPr>
            <w:r>
              <w:t xml:space="preserve">Hom-stab difference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Diferencia absoluta entre las medias de homogeneidad y estabilidad: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h</m:t>
                  </m:r>
                  <m:r>
                    <m:t>o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Aceptación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Condición en la que un ítem cumple con los criterios de homogeneidad o estabilidad.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Rechazo</w:t>
            </w:r>
          </w:p>
        </w:tc>
        <w:tc>
          <w:tcPr/>
          <w:p>
            <w:pPr>
              <w:pStyle w:val="Compact"/>
            </w:pPr>
            <w:r>
              <w:t xml:space="preserve">Rejection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Condición en la que un ítem no cumple con los criterios de homogeneidad o estabilidad.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untajes-de-desempeño"/>
    <w:p>
      <w:pPr>
        <w:pStyle w:val="Heading2"/>
      </w:pPr>
      <w:r>
        <w:t xml:space="preserve">6. Puntajes de Desempeño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9"/>
        <w:gridCol w:w="1879"/>
        <w:gridCol w:w="1208"/>
        <w:gridCol w:w="1208"/>
        <w:gridCol w:w="17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 (ES)</w:t>
            </w:r>
          </w:p>
        </w:tc>
        <w:tc>
          <w:tcPr/>
          <w:p>
            <w:pPr>
              <w:pStyle w:val="Compact"/>
            </w:pPr>
            <w:r>
              <w:t xml:space="preserve">Término (EN)</w:t>
            </w:r>
          </w:p>
        </w:tc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Medida cuantitativa utilizada para evaluar el desempeño de los participantes.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Puntaje z</w:t>
            </w:r>
          </w:p>
        </w:tc>
        <w:tc>
          <w:tcPr/>
          <w:p>
            <w:pPr>
              <w:pStyle w:val="Compact"/>
            </w:pPr>
            <w:r>
              <w:t xml:space="preserve">z-score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Evalúa la desviación relativa a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 z prima</w:t>
            </w:r>
          </w:p>
        </w:tc>
        <w:tc>
          <w:tcPr/>
          <w:p>
            <w:pPr>
              <w:pStyle w:val="Compact"/>
            </w:pPr>
            <w:r>
              <w:t xml:space="preserve">z’-score</w:t>
            </w:r>
          </w:p>
        </w:tc>
        <w:tc>
          <w:tcPr/>
          <w:p>
            <w:pPr>
              <w:pStyle w:val="Compact"/>
            </w:pPr>
            <w:r>
              <w:t xml:space="preserve">z’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p</m:t>
                      </m:r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x</m:t>
                      </m:r>
                      <m:r>
                        <m:t>p</m:t>
                      </m:r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oMath>
          </w:p>
        </w:tc>
        <w:tc>
          <w:tcPr/>
          <w:p>
            <w:pPr>
              <w:pStyle w:val="Compact"/>
            </w:pPr>
            <w:r>
              <w:t xml:space="preserve">Se utiliza cuando la incertidumbre del valor asignado es significativa.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 zeta</w:t>
            </w:r>
          </w:p>
        </w:tc>
        <w:tc>
          <w:tcPr/>
          <w:p>
            <w:pPr>
              <w:pStyle w:val="Compact"/>
            </w:pPr>
            <w:r>
              <w:t xml:space="preserve">zeta-score</w:t>
            </w:r>
          </w:p>
        </w:tc>
        <w:tc>
          <w:tcPr/>
          <w:p>
            <w:pPr>
              <w:pStyle w:val="Compact"/>
            </w:pPr>
            <m:oMath>
              <m:r>
                <m:t>ζ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u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x</m:t>
                      </m:r>
                      <m:r>
                        <m:t>p</m:t>
                      </m:r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oMath>
          </w:p>
        </w:tc>
        <w:tc>
          <w:tcPr/>
          <w:p>
            <w:pPr>
              <w:pStyle w:val="Compact"/>
            </w:pPr>
            <w:r>
              <w:t xml:space="preserve">Compara los resultados utilizando la propia incertidumbre reportada por el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normalizado</w:t>
            </w:r>
          </w:p>
        </w:tc>
        <w:tc>
          <w:tcPr/>
          <w:p>
            <w:pPr>
              <w:pStyle w:val="Compact"/>
            </w:pPr>
            <w:r>
              <w:t xml:space="preserve">En number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U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x</m:t>
                      </m:r>
                      <m:r>
                        <m:t>p</m:t>
                      </m:r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oMath>
          </w:p>
        </w:tc>
        <w:tc>
          <w:tcPr/>
          <w:p>
            <w:pPr>
              <w:pStyle w:val="Compact"/>
            </w:pPr>
            <w:r>
              <w:t xml:space="preserve">Se utiliza para comparar resultados con incertidumbres expandidas (k=2).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 Q</w:t>
            </w:r>
          </w:p>
        </w:tc>
        <w:tc>
          <w:tcPr/>
          <w:p>
            <w:pPr>
              <w:pStyle w:val="Compact"/>
            </w:pPr>
            <w:r>
              <w:t xml:space="preserve">Q score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p</m:t>
                      </m:r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oMath>
          </w:p>
        </w:tc>
        <w:tc>
          <w:tcPr/>
          <w:p>
            <w:pPr>
              <w:pStyle w:val="Compact"/>
            </w:pPr>
            <w:r>
              <w:t xml:space="preserve">Método de puntuación alternativo.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Desviación típica para aptitud</w:t>
            </w:r>
          </w:p>
        </w:tc>
        <w:tc>
          <w:tcPr/>
          <w:p>
            <w:pPr>
              <w:pStyle w:val="Compact"/>
            </w:pPr>
            <w:r>
              <w:t xml:space="preserve">Std dev for proficiency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Dispersión objetivo utilizada para evaluar el desempeño.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Desviación objetivo</w:t>
            </w:r>
          </w:p>
        </w:tc>
        <w:tc>
          <w:tcPr/>
          <w:p>
            <w:pPr>
              <w:pStyle w:val="Compact"/>
            </w:pPr>
            <w:r>
              <w:t xml:space="preserve">Target deviation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Otro nombre para la desviación estándar para la evaluación de la aptitud.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7" w:name="evaluación-y-clasificación-de-puntajes"/>
    <w:p>
      <w:pPr>
        <w:pStyle w:val="Heading2"/>
      </w:pPr>
      <w:r>
        <w:t xml:space="preserve">7. Evaluación y Clasificación de Puntajes</w:t>
      </w:r>
    </w:p>
    <w:bookmarkStart w:id="15" w:name="niveles-de-desempeño"/>
    <w:p>
      <w:pPr>
        <w:pStyle w:val="Heading3"/>
      </w:pPr>
      <w:r>
        <w:t xml:space="preserve">Niveles de Desempeño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2132"/>
        <w:gridCol w:w="167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 (ES)</w:t>
            </w:r>
          </w:p>
        </w:tc>
        <w:tc>
          <w:tcPr/>
          <w:p>
            <w:pPr>
              <w:pStyle w:val="Compact"/>
            </w:pPr>
            <w:r>
              <w:t xml:space="preserve">Término (EN)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Satisfactorio</w:t>
            </w:r>
          </w:p>
        </w:tc>
        <w:tc>
          <w:tcPr/>
          <w:p>
            <w:pPr>
              <w:pStyle w:val="Compact"/>
            </w:pPr>
            <w:r>
              <w:t xml:space="preserve">Satisfactory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t xml:space="preserve"> </w:t>
            </w:r>
            <w:r>
              <w:t xml:space="preserve">o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El desempeño se considera aceptable.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Cuestionable</w:t>
            </w:r>
          </w:p>
        </w:tc>
        <w:tc>
          <w:tcPr/>
          <w:p>
            <w:pPr>
              <w:pStyle w:val="Compact"/>
            </w:pPr>
            <w:r>
              <w:t xml:space="preserve">Questionable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  <w:r>
              <w:t xml:space="preserve">El desempeño proporciona una señal de advertencia.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satisfactorio</w:t>
            </w:r>
          </w:p>
        </w:tc>
        <w:tc>
          <w:tcPr/>
          <w:p>
            <w:pPr>
              <w:pStyle w:val="Compact"/>
            </w:pPr>
            <w:r>
              <w:t xml:space="preserve">Unsatisfactory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t xml:space="preserve"> </w:t>
            </w:r>
            <w:r>
              <w:t xml:space="preserve">o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El desempeño se considera inaceptable (se requiere acción).</w:t>
            </w:r>
          </w:p>
        </w:tc>
      </w:tr>
    </w:tbl>
    <w:bookmarkEnd w:id="15"/>
    <w:bookmarkStart w:id="16" w:name="clasificación-combinada-a1-a7"/>
    <w:p>
      <w:pPr>
        <w:pStyle w:val="Heading3"/>
      </w:pPr>
      <w:r>
        <w:t xml:space="preserve">Clasificación Combinada (a1-a7)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2359"/>
        <w:gridCol w:w="2359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Término (ES)</w:t>
            </w:r>
          </w:p>
        </w:tc>
        <w:tc>
          <w:tcPr/>
          <w:p>
            <w:pPr>
              <w:pStyle w:val="Compact"/>
            </w:pPr>
            <w:r>
              <w:t xml:space="preserve">Término (EN)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Totalmente satisfactorio</w:t>
            </w:r>
          </w:p>
        </w:tc>
        <w:tc>
          <w:tcPr/>
          <w:p>
            <w:pPr>
              <w:pStyle w:val="Compact"/>
            </w:pPr>
            <w:r>
              <w:t xml:space="preserve">Fully satisfactory</w:t>
            </w:r>
          </w:p>
        </w:tc>
        <w:tc>
          <w:tcPr/>
          <w:p>
            <w:pPr>
              <w:pStyle w:val="Compact"/>
            </w:pPr>
            <w:r>
              <w:t xml:space="preserve">Tanto z como En son satisfactorios.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Satisfactorio pero conservador</w:t>
            </w:r>
          </w:p>
        </w:tc>
        <w:tc>
          <w:tcPr/>
          <w:p>
            <w:pPr>
              <w:pStyle w:val="Compact"/>
            </w:pPr>
            <w:r>
              <w:t xml:space="preserve">Satisfactory but conservative</w:t>
            </w:r>
          </w:p>
        </w:tc>
        <w:tc>
          <w:tcPr/>
          <w:p>
            <w:pPr>
              <w:pStyle w:val="Compact"/>
            </w:pPr>
            <w:r>
              <w:t xml:space="preserve">z es satisfactorio, pero En es muy pequeño (la incertidumbre de medida puede estar sobreestimada).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Satisfactorio con MU subestimada</w:t>
            </w:r>
          </w:p>
        </w:tc>
        <w:tc>
          <w:tcPr/>
          <w:p>
            <w:pPr>
              <w:pStyle w:val="Compact"/>
            </w:pPr>
            <w:r>
              <w:t xml:space="preserve">Satisfactory with underestimated MU</w:t>
            </w:r>
          </w:p>
        </w:tc>
        <w:tc>
          <w:tcPr/>
          <w:p>
            <w:pPr>
              <w:pStyle w:val="Compact"/>
            </w:pPr>
            <w:r>
              <w:t xml:space="preserve">z es satisfactorio, pero En no es satisfactorio (la incertidumbre de medida es probablemente demasiado pequeña).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Cuestionable pero aceptable</w:t>
            </w:r>
          </w:p>
        </w:tc>
        <w:tc>
          <w:tcPr/>
          <w:p>
            <w:pPr>
              <w:pStyle w:val="Compact"/>
            </w:pPr>
            <w:r>
              <w:t xml:space="preserve">Questionable but acceptable</w:t>
            </w:r>
          </w:p>
        </w:tc>
        <w:tc>
          <w:tcPr/>
          <w:p>
            <w:pPr>
              <w:pStyle w:val="Compact"/>
            </w:pPr>
            <w:r>
              <w:t xml:space="preserve">z es cuestionable, pero En es satisfactorio.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Cuestionable e inconsistente</w:t>
            </w:r>
          </w:p>
        </w:tc>
        <w:tc>
          <w:tcPr/>
          <w:p>
            <w:pPr>
              <w:pStyle w:val="Compact"/>
            </w:pPr>
            <w:r>
              <w:t xml:space="preserve">Questionable and inconsistent</w:t>
            </w:r>
          </w:p>
        </w:tc>
        <w:tc>
          <w:tcPr/>
          <w:p>
            <w:pPr>
              <w:pStyle w:val="Compact"/>
            </w:pPr>
            <w:r>
              <w:t xml:space="preserve">Tanto z como En muestran problemas (advertencia).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No satisfactorio pero MU cubre</w:t>
            </w:r>
          </w:p>
        </w:tc>
        <w:tc>
          <w:tcPr/>
          <w:p>
            <w:pPr>
              <w:pStyle w:val="Compact"/>
            </w:pPr>
            <w:r>
              <w:t xml:space="preserve">Unsatisfactory but MU covers</w:t>
            </w:r>
          </w:p>
        </w:tc>
        <w:tc>
          <w:tcPr/>
          <w:p>
            <w:pPr>
              <w:pStyle w:val="Compact"/>
            </w:pPr>
            <w:r>
              <w:t xml:space="preserve">z no es satisfactorio, pero En es satisfactorio debido a una gran incertidumbre de medida.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No satisfactorio (crítico)</w:t>
            </w:r>
          </w:p>
        </w:tc>
        <w:tc>
          <w:tcPr/>
          <w:p>
            <w:pPr>
              <w:pStyle w:val="Compact"/>
            </w:pPr>
            <w:r>
              <w:t xml:space="preserve">Unsatisfactory (critical)</w:t>
            </w:r>
          </w:p>
        </w:tc>
        <w:tc>
          <w:tcPr/>
          <w:p>
            <w:pPr>
              <w:pStyle w:val="Compact"/>
            </w:pPr>
            <w:r>
              <w:t xml:space="preserve">Tanto z como En no son satisfactorios.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términos-estadísticos"/>
    <w:p>
      <w:pPr>
        <w:pStyle w:val="Heading2"/>
      </w:pPr>
      <w:r>
        <w:t xml:space="preserve">8. Términos Estadísticos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1454"/>
        <w:gridCol w:w="1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 (ES)</w:t>
            </w:r>
          </w:p>
        </w:tc>
        <w:tc>
          <w:tcPr/>
          <w:p>
            <w:pPr>
              <w:pStyle w:val="Compact"/>
            </w:pPr>
            <w:r>
              <w:t xml:space="preserve">Término (EN)</w:t>
            </w:r>
          </w:p>
        </w:tc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Análisis de varianza</w:t>
            </w:r>
          </w:p>
        </w:tc>
        <w:tc>
          <w:tcPr/>
          <w:p>
            <w:pPr>
              <w:pStyle w:val="Compact"/>
            </w:pPr>
            <w:r>
              <w:t xml:space="preserve">Analysis of variance</w:t>
            </w:r>
          </w:p>
        </w:tc>
        <w:tc>
          <w:tcPr/>
          <w:p>
            <w:pPr>
              <w:pStyle w:val="Compact"/>
            </w:pPr>
            <w:r>
              <w:t xml:space="preserve">ANOVA</w:t>
            </w:r>
          </w:p>
        </w:tc>
        <w:tc>
          <w:tcPr/>
          <w:p>
            <w:pPr>
              <w:pStyle w:val="Compact"/>
            </w:pPr>
            <w:r>
              <w:t xml:space="preserve">Método estadístico para comparar medias y particionar la varianza.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Grados de libertad</w:t>
            </w:r>
          </w:p>
        </w:tc>
        <w:tc>
          <w:tcPr/>
          <w:p>
            <w:pPr>
              <w:pStyle w:val="Compact"/>
            </w:pPr>
            <w:r>
              <w:t xml:space="preserve">Degrees of freedom</w:t>
            </w:r>
          </w:p>
        </w:tc>
        <w:tc>
          <w:tcPr/>
          <w:p>
            <w:pPr>
              <w:pStyle w:val="Compact"/>
            </w:pPr>
            <w:r>
              <w:t xml:space="preserve">df, gl</w:t>
            </w:r>
          </w:p>
        </w:tc>
        <w:tc>
          <w:tcPr/>
          <w:p>
            <w:pPr>
              <w:pStyle w:val="Compact"/>
            </w:pPr>
            <w:r>
              <w:t xml:space="preserve">Número de valores independientes utilizados en un cálculo.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Grado de libertad efectivo</w:t>
            </w:r>
          </w:p>
        </w:tc>
        <w:tc>
          <w:tcPr/>
          <w:p>
            <w:pPr>
              <w:pStyle w:val="Compact"/>
            </w:pPr>
            <w:r>
              <w:t xml:space="preserve">Effective degrees of freedom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ν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Valor utilizado en la propagación de la incertidumbre (Welch-Satterthwaite).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Suma de cuadrados</w:t>
            </w:r>
          </w:p>
        </w:tc>
        <w:tc>
          <w:tcPr/>
          <w:p>
            <w:pPr>
              <w:pStyle w:val="Compact"/>
            </w:pPr>
            <w:r>
              <w:t xml:space="preserve">Sum of squares</w:t>
            </w:r>
          </w:p>
        </w:tc>
        <w:tc>
          <w:tcPr/>
          <w:p>
            <w:pPr>
              <w:pStyle w:val="Compact"/>
            </w:pPr>
            <w:r>
              <w:t xml:space="preserve">SS</w:t>
            </w:r>
          </w:p>
        </w:tc>
        <w:tc>
          <w:tcPr/>
          <w:p>
            <w:pPr>
              <w:pStyle w:val="Compact"/>
            </w:pPr>
            <w:r>
              <w:t xml:space="preserve">Suma de las desviaciones al cuadrado respecto a la media.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de cuadrados</w:t>
            </w:r>
          </w:p>
        </w:tc>
        <w:tc>
          <w:tcPr/>
          <w:p>
            <w:pPr>
              <w:pStyle w:val="Compact"/>
            </w:pPr>
            <w:r>
              <w:t xml:space="preserve">Mean square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Suma de cuadrados dividida por los grados de libertad.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F</w:t>
            </w:r>
          </w:p>
        </w:tc>
        <w:tc>
          <w:tcPr/>
          <w:p>
            <w:pPr>
              <w:pStyle w:val="Compact"/>
            </w:pPr>
            <w:r>
              <w:t xml:space="preserve">F-value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Razón de varianzas utilizada en ANOVA.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p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Probabilidad de observar el resultado si la hipótesis nula es verdadera.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 de significancia</w:t>
            </w:r>
          </w:p>
        </w:tc>
        <w:tc>
          <w:tcPr/>
          <w:p>
            <w:pPr>
              <w:pStyle w:val="Compact"/>
            </w:pPr>
            <w:r>
              <w:t xml:space="preserve">Significance level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</w:pPr>
            <w:r>
              <w:t xml:space="preserve">Probabilidad de rechazar la hipótesis nula cuando es verdadera (comúnmente 0.05).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t</w:t>
            </w:r>
          </w:p>
        </w:tc>
        <w:tc>
          <w:tcPr/>
          <w:p>
            <w:pPr>
              <w:pStyle w:val="Compact"/>
            </w:pPr>
            <w:r>
              <w:t xml:space="preserve">t-test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Prueba estadística utilizada para comparar dos medias.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términos-de-incertidumbre"/>
    <w:p>
      <w:pPr>
        <w:pStyle w:val="Heading2"/>
      </w:pPr>
      <w:r>
        <w:t xml:space="preserve">9. Términos de Incertidumbre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1454"/>
        <w:gridCol w:w="1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 (ES)</w:t>
            </w:r>
          </w:p>
        </w:tc>
        <w:tc>
          <w:tcPr/>
          <w:p>
            <w:pPr>
              <w:pStyle w:val="Compact"/>
            </w:pPr>
            <w:r>
              <w:t xml:space="preserve">Término (EN)</w:t>
            </w:r>
          </w:p>
        </w:tc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Incertidumbre</w:t>
            </w:r>
          </w:p>
        </w:tc>
        <w:tc>
          <w:tcPr/>
          <w:p>
            <w:pPr>
              <w:pStyle w:val="Compact"/>
            </w:pPr>
            <w:r>
              <w:t xml:space="preserve">Uncertainty</w:t>
            </w:r>
          </w:p>
        </w:tc>
        <w:tc>
          <w:tcPr/>
          <w:p>
            <w:pPr>
              <w:pStyle w:val="Compact"/>
            </w:pPr>
            <w:r>
              <w:t xml:space="preserve">u(x)</w:t>
            </w:r>
          </w:p>
        </w:tc>
        <w:tc>
          <w:tcPr/>
          <w:p>
            <w:pPr>
              <w:pStyle w:val="Compact"/>
            </w:pPr>
            <w:r>
              <w:t xml:space="preserve">Parámetro que caracteriza la dispersión de los valores atribuidos a una medición.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Incertidumbre estándar</w:t>
            </w:r>
          </w:p>
        </w:tc>
        <w:tc>
          <w:tcPr/>
          <w:p>
            <w:pPr>
              <w:pStyle w:val="Compact"/>
            </w:pPr>
            <w:r>
              <w:t xml:space="preserve">Standard uncertainty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Incertidumbre expresada como una desviación estándar (k=1).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Incertidumbre expandida</w:t>
            </w:r>
          </w:p>
        </w:tc>
        <w:tc>
          <w:tcPr/>
          <w:p>
            <w:pPr>
              <w:pStyle w:val="Compact"/>
            </w:pPr>
            <w:r>
              <w:t xml:space="preserve">Expanded uncertainty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Incertidumbre estándar multiplicada por un factor de cobertura (usualmente k=2).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 de cobertura</w:t>
            </w:r>
          </w:p>
        </w:tc>
        <w:tc>
          <w:tcPr/>
          <w:p>
            <w:pPr>
              <w:pStyle w:val="Compact"/>
            </w:pPr>
            <w:r>
              <w:t xml:space="preserve">Coverage factor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Multiplicador utilizado para obtener la incertidumbre expandida.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Incertidumbre del participante</w:t>
            </w:r>
          </w:p>
        </w:tc>
        <w:tc>
          <w:tcPr/>
          <w:p>
            <w:pPr>
              <w:pStyle w:val="Compact"/>
            </w:pPr>
            <w:r>
              <w:t xml:space="preserve">Participant uncertainty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Incertidumbre estándar del valor reportado por el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Propagación de incertidumbre</w:t>
            </w:r>
          </w:p>
        </w:tc>
        <w:tc>
          <w:tcPr/>
          <w:p>
            <w:pPr>
              <w:pStyle w:val="Compact"/>
            </w:pPr>
            <w:r>
              <w:t xml:space="preserve">Uncertainty propagation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Método para combinar los componentes individuales de incertidumbre.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términos-metrológicos"/>
    <w:p>
      <w:pPr>
        <w:pStyle w:val="Heading2"/>
      </w:pPr>
      <w:r>
        <w:t xml:space="preserve">10. Términos Metrológicos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1454"/>
        <w:gridCol w:w="1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 (ES)</w:t>
            </w:r>
          </w:p>
        </w:tc>
        <w:tc>
          <w:tcPr/>
          <w:p>
            <w:pPr>
              <w:pStyle w:val="Compact"/>
            </w:pPr>
            <w:r>
              <w:t xml:space="preserve">Término (EN)</w:t>
            </w:r>
          </w:p>
        </w:tc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Compatibilidad metrológica</w:t>
            </w:r>
          </w:p>
        </w:tc>
        <w:tc>
          <w:tcPr/>
          <w:p>
            <w:pPr>
              <w:pStyle w:val="Compact"/>
            </w:pPr>
            <w:r>
              <w:t xml:space="preserve">Metrological compatibility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Concordancia entre los resultados de medición donde su diferencia está dentro de los límites de incertidumbre.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Propiedad de un resultado de medición que lo relaciona con una referencia a través de una cadena de calibraciones.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Exactitud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Cercanía de la concordancia entre un valor medido y un valor verdadero.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Precisión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Cercanía de la concordancia entre mediciones repetidas.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Veracidad</w:t>
            </w:r>
          </w:p>
        </w:tc>
        <w:tc>
          <w:tcPr/>
          <w:p>
            <w:pPr>
              <w:pStyle w:val="Compact"/>
            </w:pPr>
            <w:r>
              <w:t xml:space="preserve">Trueness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Cercanía de la concordancia entre el promedio de infinitas mediciones y un valor de referencia.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Estadístico D2a</w:t>
            </w:r>
          </w:p>
        </w:tc>
        <w:tc>
          <w:tcPr/>
          <w:p>
            <w:pPr>
              <w:pStyle w:val="Compact"/>
            </w:pPr>
            <w:r>
              <w:t xml:space="preserve">D2a statistic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Índice para evaluar la compatibilidad metrológica.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Estadístico D2b</w:t>
            </w:r>
          </w:p>
        </w:tc>
        <w:tc>
          <w:tcPr/>
          <w:p>
            <w:pPr>
              <w:pStyle w:val="Compact"/>
            </w:pPr>
            <w:r>
              <w:t xml:space="preserve">D2b statistic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Índice alternativo para la compatibilidad metrológica.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detección-de-valores-atípicos"/>
    <w:p>
      <w:pPr>
        <w:pStyle w:val="Heading2"/>
      </w:pPr>
      <w:r>
        <w:t xml:space="preserve">11. Detección de Valores Atípicos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1454"/>
        <w:gridCol w:w="1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 (ES)</w:t>
            </w:r>
          </w:p>
        </w:tc>
        <w:tc>
          <w:tcPr/>
          <w:p>
            <w:pPr>
              <w:pStyle w:val="Compact"/>
            </w:pPr>
            <w:r>
              <w:t xml:space="preserve">Término (EN)</w:t>
            </w:r>
          </w:p>
        </w:tc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atípico</w:t>
            </w:r>
          </w:p>
        </w:tc>
        <w:tc>
          <w:tcPr/>
          <w:p>
            <w:pPr>
              <w:pStyle w:val="Compact"/>
            </w:pPr>
            <w:r>
              <w:t xml:space="preserve">Outlier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Una observación que parece desviarse marcadamente de los demás miembros de la muestra.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de Grubbs</w:t>
            </w:r>
          </w:p>
        </w:tc>
        <w:tc>
          <w:tcPr/>
          <w:p>
            <w:pPr>
              <w:pStyle w:val="Compact"/>
            </w:pPr>
            <w:r>
              <w:t xml:space="preserve">Grubbs test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Prueba estadística para detectar un único valor atípico en un conjunto de datos.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de Dixon</w:t>
            </w:r>
          </w:p>
        </w:tc>
        <w:tc>
          <w:tcPr/>
          <w:p>
            <w:pPr>
              <w:pStyle w:val="Compact"/>
            </w:pPr>
            <w:r>
              <w:t xml:space="preserve">Dixon test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Prueba estadística para valores atípicos en tamaños de muestra pequeños.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 z modificado</w:t>
            </w:r>
          </w:p>
        </w:tc>
        <w:tc>
          <w:tcPr/>
          <w:p>
            <w:pPr>
              <w:pStyle w:val="Compact"/>
            </w:pPr>
            <w:r>
              <w:t xml:space="preserve">Modified z-score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Método robusto de detección de valores atípicos basado en la mediana y el MAD.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érminos-de-interfaz"/>
    <w:p>
      <w:pPr>
        <w:pStyle w:val="Heading2"/>
      </w:pPr>
      <w:r>
        <w:t xml:space="preserve">12. Términos de Interfaz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2917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 (ES)</w:t>
            </w:r>
          </w:p>
        </w:tc>
        <w:tc>
          <w:tcPr/>
          <w:p>
            <w:pPr>
              <w:pStyle w:val="Compact"/>
            </w:pPr>
            <w:r>
              <w:t xml:space="preserve">Término (EN)</w:t>
            </w:r>
          </w:p>
        </w:tc>
        <w:tc>
          <w:tcPr/>
          <w:p>
            <w:pPr>
              <w:pStyle w:val="Compact"/>
            </w:pPr>
            <w:r>
              <w:t xml:space="preserve">Contexto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de datos</w:t>
            </w:r>
          </w:p>
        </w:tc>
        <w:tc>
          <w:tcPr/>
          <w:p>
            <w:pPr>
              <w:pStyle w:val="Compact"/>
            </w:pPr>
            <w:r>
              <w:t xml:space="preserve">Data loading</w:t>
            </w:r>
          </w:p>
        </w:tc>
        <w:tc>
          <w:tcPr/>
          <w:p>
            <w:pPr>
              <w:pStyle w:val="Compact"/>
            </w:pPr>
            <w:r>
              <w:t xml:space="preserve">Pestaña o sección para cargar archivos.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Ejecutar análisis</w:t>
            </w:r>
          </w:p>
        </w:tc>
        <w:tc>
          <w:tcPr/>
          <w:p>
            <w:pPr>
              <w:pStyle w:val="Compact"/>
            </w:pPr>
            <w:r>
              <w:t xml:space="preserve">Run analysis</w:t>
            </w:r>
          </w:p>
        </w:tc>
        <w:tc>
          <w:tcPr/>
          <w:p>
            <w:pPr>
              <w:pStyle w:val="Compact"/>
            </w:pPr>
            <w:r>
              <w:t xml:space="preserve">Botón para iniciar los cálculos.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Calcular puntajes</w:t>
            </w:r>
          </w:p>
        </w:tc>
        <w:tc>
          <w:tcPr/>
          <w:p>
            <w:pPr>
              <w:pStyle w:val="Compact"/>
            </w:pPr>
            <w:r>
              <w:t xml:space="preserve">Calculate scores</w:t>
            </w:r>
          </w:p>
        </w:tc>
        <w:tc>
          <w:tcPr/>
          <w:p>
            <w:pPr>
              <w:pStyle w:val="Compact"/>
            </w:pPr>
            <w:r>
              <w:t xml:space="preserve">Cálculo del desempeño de los participantes.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Generar informe</w:t>
            </w:r>
          </w:p>
        </w:tc>
        <w:tc>
          <w:tcPr/>
          <w:p>
            <w:pPr>
              <w:pStyle w:val="Compact"/>
            </w:pPr>
            <w:r>
              <w:t xml:space="preserve">Generate report</w:t>
            </w:r>
          </w:p>
        </w:tc>
        <w:tc>
          <w:tcPr/>
          <w:p>
            <w:pPr>
              <w:pStyle w:val="Compact"/>
            </w:pPr>
            <w:r>
              <w:t xml:space="preserve">Exportación de resultados a Word/HTML.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 de homogeneidad</w:t>
            </w:r>
          </w:p>
        </w:tc>
        <w:tc>
          <w:tcPr/>
          <w:p>
            <w:pPr>
              <w:pStyle w:val="Compact"/>
            </w:pPr>
            <w:r>
              <w:t xml:space="preserve">Homogeneity file</w:t>
            </w:r>
          </w:p>
        </w:tc>
        <w:tc>
          <w:tcPr/>
          <w:p>
            <w:pPr>
              <w:pStyle w:val="Compact"/>
            </w:pPr>
            <w:r>
              <w:t xml:space="preserve">Archivo CSV con datos de homogeneidad.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 de estabilidad</w:t>
            </w:r>
          </w:p>
        </w:tc>
        <w:tc>
          <w:tcPr/>
          <w:p>
            <w:pPr>
              <w:pStyle w:val="Compact"/>
            </w:pPr>
            <w:r>
              <w:t xml:space="preserve">Stability file</w:t>
            </w:r>
          </w:p>
        </w:tc>
        <w:tc>
          <w:tcPr/>
          <w:p>
            <w:pPr>
              <w:pStyle w:val="Compact"/>
            </w:pPr>
            <w:r>
              <w:t xml:space="preserve">Archivo CSV con datos de estabilidad.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Archivos resumen</w:t>
            </w:r>
          </w:p>
        </w:tc>
        <w:tc>
          <w:tcPr/>
          <w:p>
            <w:pPr>
              <w:pStyle w:val="Compact"/>
            </w:pPr>
            <w:r>
              <w:t xml:space="preserve">Summary files</w:t>
            </w:r>
          </w:p>
        </w:tc>
        <w:tc>
          <w:tcPr/>
          <w:p>
            <w:pPr>
              <w:pStyle w:val="Compact"/>
            </w:pPr>
            <w:r>
              <w:t xml:space="preserve">Archivos CSV con resultados de los participantes.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Informe global</w:t>
            </w:r>
          </w:p>
        </w:tc>
        <w:tc>
          <w:tcPr/>
          <w:p>
            <w:pPr>
              <w:pStyle w:val="Compact"/>
            </w:pPr>
            <w:r>
              <w:t xml:space="preserve">Global report</w:t>
            </w:r>
          </w:p>
        </w:tc>
        <w:tc>
          <w:tcPr/>
          <w:p>
            <w:pPr>
              <w:pStyle w:val="Compact"/>
            </w:pPr>
            <w:r>
              <w:t xml:space="preserve">Vista resumida de todos los resultados y niveles.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Detalle por participante</w:t>
            </w:r>
          </w:p>
        </w:tc>
        <w:tc>
          <w:tcPr/>
          <w:p>
            <w:pPr>
              <w:pStyle w:val="Compact"/>
            </w:pPr>
            <w:r>
              <w:t xml:space="preserve">Participant detail</w:t>
            </w:r>
          </w:p>
        </w:tc>
        <w:tc>
          <w:tcPr/>
          <w:p>
            <w:pPr>
              <w:pStyle w:val="Compact"/>
            </w:pPr>
            <w:r>
              <w:t xml:space="preserve">Desglose del desempeño individual.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Pestaña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Elemento de navegación en la interfaz de usuario.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 lateral</w:t>
            </w:r>
          </w:p>
        </w:tc>
        <w:tc>
          <w:tcPr/>
          <w:p>
            <w:pPr>
              <w:pStyle w:val="Compact"/>
            </w:pPr>
            <w:r>
              <w:t xml:space="preserve">Sidebar</w:t>
            </w:r>
          </w:p>
        </w:tc>
        <w:tc>
          <w:tcPr/>
          <w:p>
            <w:pPr>
              <w:pStyle w:val="Compact"/>
            </w:pPr>
            <w:r>
              <w:t xml:space="preserve">Área de control a la izquierda.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Área principal</w:t>
            </w:r>
          </w:p>
        </w:tc>
        <w:tc>
          <w:tcPr/>
          <w:p>
            <w:pPr>
              <w:pStyle w:val="Compact"/>
            </w:pPr>
            <w:r>
              <w:t xml:space="preserve">Main panel</w:t>
            </w:r>
          </w:p>
        </w:tc>
        <w:tc>
          <w:tcPr/>
          <w:p>
            <w:pPr>
              <w:pStyle w:val="Compact"/>
            </w:pPr>
            <w:r>
              <w:t xml:space="preserve">Área de visualización de contenido.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ontaminantes"/>
    <w:p>
      <w:pPr>
        <w:pStyle w:val="Heading2"/>
      </w:pPr>
      <w:r>
        <w:t xml:space="preserve">13. Contaminantes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 (ES)</w:t>
            </w:r>
          </w:p>
        </w:tc>
        <w:tc>
          <w:tcPr/>
          <w:p>
            <w:pPr>
              <w:pStyle w:val="Compact"/>
            </w:pPr>
            <w:r>
              <w:t xml:space="preserve">Término (EN)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Unidades Típicas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Monóxido de carbono</w:t>
            </w:r>
          </w:p>
        </w:tc>
        <w:tc>
          <w:tcPr/>
          <w:p>
            <w:pPr>
              <w:pStyle w:val="Compact"/>
            </w:pPr>
            <w:r>
              <w:t xml:space="preserve">Carbon monoxide</w:t>
            </w:r>
          </w:p>
        </w:tc>
        <w:tc>
          <w:tcPr/>
          <w:p>
            <w:pPr>
              <w:pStyle w:val="Compact"/>
            </w:pPr>
            <w:r>
              <w:t xml:space="preserve">CO</w:t>
            </w:r>
          </w:p>
        </w:tc>
        <w:tc>
          <w:tcPr/>
          <w:p>
            <w:pPr>
              <w:pStyle w:val="Compact"/>
            </w:pPr>
            <w:r>
              <w:t xml:space="preserve">μmol/mol (ppm)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Dióxido de azufre</w:t>
            </w:r>
          </w:p>
        </w:tc>
        <w:tc>
          <w:tcPr/>
          <w:p>
            <w:pPr>
              <w:pStyle w:val="Compact"/>
            </w:pPr>
            <w:r>
              <w:t xml:space="preserve">Sulfur dioxide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nmol/mol (ppb)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Monóxido de nitrógeno</w:t>
            </w:r>
          </w:p>
        </w:tc>
        <w:tc>
          <w:tcPr/>
          <w:p>
            <w:pPr>
              <w:pStyle w:val="Compact"/>
            </w:pPr>
            <w:r>
              <w:t xml:space="preserve">Nitric oxide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nmol/mol (ppb)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Dióxido de nitrógeno</w:t>
            </w:r>
          </w:p>
        </w:tc>
        <w:tc>
          <w:tcPr/>
          <w:p>
            <w:pPr>
              <w:pStyle w:val="Compact"/>
            </w:pPr>
            <w:r>
              <w:t xml:space="preserve">Nitrogen dioxide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nmol/mol (ppb)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Óxidos de nitrógeno</w:t>
            </w:r>
          </w:p>
        </w:tc>
        <w:tc>
          <w:tcPr/>
          <w:p>
            <w:pPr>
              <w:pStyle w:val="Compact"/>
            </w:pPr>
            <w:r>
              <w:t xml:space="preserve">Nitrogen oxides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sSub>
                <m:e>
                  <m:r>
                    <m:t>O</m:t>
                  </m:r>
                </m:e>
                <m:sub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nmol/mol (ppb)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Ozono</w:t>
            </w:r>
          </w:p>
        </w:tc>
        <w:tc>
          <w:tcPr/>
          <w:p>
            <w:pPr>
              <w:pStyle w:val="Compact"/>
            </w:pPr>
            <w:r>
              <w:t xml:space="preserve">Ozone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nmol/mol (ppb)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nidades"/>
    <w:p>
      <w:pPr>
        <w:pStyle w:val="Heading2"/>
      </w:pPr>
      <w:r>
        <w:t xml:space="preserve">14. Unidades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217"/>
        <w:gridCol w:w="1425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 (ES)</w:t>
            </w:r>
          </w:p>
        </w:tc>
        <w:tc>
          <w:tcPr/>
          <w:p>
            <w:pPr>
              <w:pStyle w:val="Compact"/>
            </w:pPr>
            <w:r>
              <w:t xml:space="preserve">Término (EN)</w:t>
            </w:r>
          </w:p>
        </w:tc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micromol/mol</w:t>
            </w:r>
          </w:p>
        </w:tc>
        <w:tc>
          <w:tcPr/>
          <w:p>
            <w:pPr>
              <w:pStyle w:val="Compact"/>
            </w:pPr>
            <w:r>
              <w:t xml:space="preserve">micromole/mole</w:t>
            </w:r>
          </w:p>
        </w:tc>
        <w:tc>
          <w:tcPr/>
          <w:p>
            <w:pPr>
              <w:pStyle w:val="Compact"/>
            </w:pPr>
            <w:r>
              <w:t xml:space="preserve">μmol/mol</w:t>
            </w:r>
          </w:p>
        </w:tc>
        <w:tc>
          <w:tcPr/>
          <w:p>
            <w:pPr>
              <w:pStyle w:val="Compact"/>
            </w:pPr>
            <w:r>
              <w:t xml:space="preserve">Relación de mezcla molar, equivalente a partes por millón (ppm).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nanomol/mol</w:t>
            </w:r>
          </w:p>
        </w:tc>
        <w:tc>
          <w:tcPr/>
          <w:p>
            <w:pPr>
              <w:pStyle w:val="Compact"/>
            </w:pPr>
            <w:r>
              <w:t xml:space="preserve">nanomole/mole</w:t>
            </w:r>
          </w:p>
        </w:tc>
        <w:tc>
          <w:tcPr/>
          <w:p>
            <w:pPr>
              <w:pStyle w:val="Compact"/>
            </w:pPr>
            <w:r>
              <w:t xml:space="preserve">nmol/mol</w:t>
            </w:r>
          </w:p>
        </w:tc>
        <w:tc>
          <w:tcPr/>
          <w:p>
            <w:pPr>
              <w:pStyle w:val="Compact"/>
            </w:pPr>
            <w:r>
              <w:t xml:space="preserve">Relación de mezcla molar, equivalente a partes por billón (ppb).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partes por millón</w:t>
            </w:r>
          </w:p>
        </w:tc>
        <w:tc>
          <w:tcPr/>
          <w:p>
            <w:pPr>
              <w:pStyle w:val="Compact"/>
            </w:pPr>
            <w:r>
              <w:t xml:space="preserve">parts per million</w:t>
            </w:r>
          </w:p>
        </w:tc>
        <w:tc>
          <w:tcPr/>
          <w:p>
            <w:pPr>
              <w:pStyle w:val="Compact"/>
            </w:pPr>
            <w:r>
              <w:t xml:space="preserve">ppm</w:t>
            </w:r>
          </w:p>
        </w:tc>
        <w:tc>
          <w:tcPr/>
          <w:p>
            <w:pPr>
              <w:pStyle w:val="Compact"/>
            </w:pPr>
            <w:r>
              <w:t xml:space="preserve">Relación de volumen o molar (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partes por billón</w:t>
            </w:r>
          </w:p>
        </w:tc>
        <w:tc>
          <w:tcPr/>
          <w:p>
            <w:pPr>
              <w:pStyle w:val="Compact"/>
            </w:pPr>
            <w:r>
              <w:t xml:space="preserve">parts per billion</w:t>
            </w:r>
          </w:p>
        </w:tc>
        <w:tc>
          <w:tcPr/>
          <w:p>
            <w:pPr>
              <w:pStyle w:val="Compact"/>
            </w:pPr>
            <w:r>
              <w:t xml:space="preserve">ppb</w:t>
            </w:r>
          </w:p>
        </w:tc>
        <w:tc>
          <w:tcPr/>
          <w:p>
            <w:pPr>
              <w:pStyle w:val="Compact"/>
            </w:pPr>
            <w:r>
              <w:t xml:space="preserve">Relación de volumen o molar (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normas-iso"/>
    <w:p>
      <w:pPr>
        <w:pStyle w:val="Heading2"/>
      </w:pPr>
      <w:r>
        <w:t xml:space="preserve">15. Normas ISO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1980"/>
        <w:gridCol w:w="42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Contenido Clave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Métodos estadísticos para su uso en ensayos de aptitud</w:t>
            </w:r>
          </w:p>
        </w:tc>
        <w:tc>
          <w:tcPr/>
          <w:p>
            <w:pPr>
              <w:pStyle w:val="Compact"/>
            </w:pPr>
            <w:r>
              <w:t xml:space="preserve">Algoritmos robustos (Algoritmo A), métodos de puntuación, criterios de homogeneidad/estabilidad.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17043:2024</w:t>
            </w:r>
          </w:p>
        </w:tc>
        <w:tc>
          <w:tcPr/>
          <w:p>
            <w:pPr>
              <w:pStyle w:val="Compact"/>
            </w:pPr>
            <w:r>
              <w:t xml:space="preserve">Evaluación de la conformidad — Requisitos generales para los ensayos de aptitud</w:t>
            </w:r>
          </w:p>
        </w:tc>
        <w:tc>
          <w:tcPr/>
          <w:p>
            <w:pPr>
              <w:pStyle w:val="Compact"/>
            </w:pPr>
            <w:r>
              <w:t xml:space="preserve">Requisitos para el diseño, gestión y competencia técnica de los esquemas de PT.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5725</w:t>
            </w:r>
          </w:p>
        </w:tc>
        <w:tc>
          <w:tcPr/>
          <w:p>
            <w:pPr>
              <w:pStyle w:val="Compact"/>
            </w:pPr>
            <w:r>
              <w:t xml:space="preserve">Exactitud (veracidad y precisión) de los métodos de medición</w:t>
            </w:r>
          </w:p>
        </w:tc>
        <w:tc>
          <w:tcPr/>
          <w:p>
            <w:pPr>
              <w:pStyle w:val="Compact"/>
            </w:pPr>
            <w:r>
              <w:t xml:space="preserve">Procedimientos para determinar la repetibilidad y la reproducibilidad.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17025</w:t>
            </w:r>
          </w:p>
        </w:tc>
        <w:tc>
          <w:tcPr/>
          <w:p>
            <w:pPr>
              <w:pStyle w:val="Compact"/>
            </w:pPr>
            <w:r>
              <w:t xml:space="preserve">Requisitos generales para la competencia de los laboratorios</w:t>
            </w:r>
          </w:p>
        </w:tc>
        <w:tc>
          <w:tcPr/>
          <w:p>
            <w:pPr>
              <w:pStyle w:val="Compact"/>
            </w:pPr>
            <w:r>
              <w:t xml:space="preserve">Estándares de acreditación para laboratorios de ensayo y calibración.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GUM (JCGM 100)</w:t>
            </w:r>
          </w:p>
        </w:tc>
        <w:tc>
          <w:tcPr/>
          <w:p>
            <w:pPr>
              <w:pStyle w:val="Compact"/>
            </w:pPr>
            <w:r>
              <w:t xml:space="preserve">Guía para la expresión de la incertidumbre de medida</w:t>
            </w:r>
          </w:p>
        </w:tc>
        <w:tc>
          <w:tcPr/>
          <w:p>
            <w:pPr>
              <w:pStyle w:val="Compact"/>
            </w:pPr>
            <w:r>
              <w:t xml:space="preserve">Marco internacional para la evaluación de la incertidumbre de medida.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olumnas-de-archivos"/>
    <w:p>
      <w:pPr>
        <w:pStyle w:val="Heading2"/>
      </w:pPr>
      <w:r>
        <w:t xml:space="preserve">16. Columnas de Archivos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15"/>
        <w:gridCol w:w="2015"/>
        <w:gridCol w:w="2015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 (ES)</w:t>
            </w:r>
          </w:p>
        </w:tc>
        <w:tc>
          <w:tcPr/>
          <w:p>
            <w:pPr>
              <w:pStyle w:val="Compact"/>
            </w:pPr>
            <w:r>
              <w:t xml:space="preserve">Columna (EN)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pollutant</w:t>
            </w:r>
          </w:p>
        </w:tc>
        <w:tc>
          <w:tcPr/>
          <w:p>
            <w:pPr>
              <w:pStyle w:val="Compact"/>
            </w:pPr>
            <w:r>
              <w:t xml:space="preserve">pollutant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Código del contaminante (co, so2,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Nombre del nivel de concentración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replicate</w:t>
            </w:r>
          </w:p>
        </w:tc>
        <w:tc>
          <w:tcPr/>
          <w:p>
            <w:pPr>
              <w:pStyle w:val="Compact"/>
            </w:pPr>
            <w:r>
              <w:t xml:space="preserve">replicate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Índice de réplica de la medición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Valor de concentración medido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sample_id</w:t>
            </w:r>
          </w:p>
        </w:tc>
        <w:tc>
          <w:tcPr/>
          <w:p>
            <w:pPr>
              <w:pStyle w:val="Compact"/>
            </w:pPr>
            <w:r>
              <w:t xml:space="preserve">sample_id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Identificador único para el ítem de muestra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participant_id</w:t>
            </w:r>
          </w:p>
        </w:tc>
        <w:tc>
          <w:tcPr/>
          <w:p>
            <w:pPr>
              <w:pStyle w:val="Compact"/>
            </w:pPr>
            <w:r>
              <w:t xml:space="preserve">participant_id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Identificador único para el participante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mean_value</w:t>
            </w:r>
          </w:p>
        </w:tc>
        <w:tc>
          <w:tcPr/>
          <w:p>
            <w:pPr>
              <w:pStyle w:val="Compact"/>
            </w:pPr>
            <w:r>
              <w:t xml:space="preserve">mean_value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Valor promedio reportado por el participante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sd_value</w:t>
            </w:r>
          </w:p>
        </w:tc>
        <w:tc>
          <w:tcPr/>
          <w:p>
            <w:pPr>
              <w:pStyle w:val="Compact"/>
            </w:pPr>
            <w:r>
              <w:t xml:space="preserve">sd_value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Desviación estándar reportada por el participante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n_lab</w:t>
            </w:r>
          </w:p>
        </w:tc>
        <w:tc>
          <w:tcPr/>
          <w:p>
            <w:pPr>
              <w:pStyle w:val="Compact"/>
            </w:pPr>
            <w:r>
              <w:t xml:space="preserve">n_lab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Número de participantes en el esquema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acrónimos-comunes"/>
    <w:p>
      <w:pPr>
        <w:pStyle w:val="Heading2"/>
      </w:pPr>
      <w:r>
        <w:t xml:space="preserve">17. Acrónimos Comunes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3638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Acrónimo</w:t>
            </w:r>
          </w:p>
        </w:tc>
        <w:tc>
          <w:tcPr/>
          <w:p>
            <w:pPr>
              <w:pStyle w:val="Compact"/>
            </w:pPr>
            <w:r>
              <w:t xml:space="preserve">Nombre Completo</w:t>
            </w:r>
          </w:p>
        </w:tc>
        <w:tc>
          <w:tcPr/>
          <w:p>
            <w:pPr>
              <w:pStyle w:val="Compact"/>
            </w:pPr>
            <w:r>
              <w:t xml:space="preserve">Contexto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</w:t>
            </w:r>
          </w:p>
        </w:tc>
        <w:tc>
          <w:tcPr/>
          <w:p>
            <w:pPr>
              <w:pStyle w:val="Compact"/>
            </w:pPr>
            <w:r>
              <w:t xml:space="preserve">Proficiency Testing</w:t>
            </w:r>
          </w:p>
        </w:tc>
        <w:tc>
          <w:tcPr/>
          <w:p>
            <w:pPr>
              <w:pStyle w:val="Compact"/>
            </w:pPr>
            <w:r>
              <w:t xml:space="preserve">Campo general de actividad.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ANOVA</w:t>
            </w:r>
          </w:p>
        </w:tc>
        <w:tc>
          <w:tcPr/>
          <w:p>
            <w:pPr>
              <w:pStyle w:val="Compact"/>
            </w:pPr>
            <w:r>
              <w:t xml:space="preserve">Analysis of Variance</w:t>
            </w:r>
          </w:p>
        </w:tc>
        <w:tc>
          <w:tcPr/>
          <w:p>
            <w:pPr>
              <w:pStyle w:val="Compact"/>
            </w:pPr>
            <w:r>
              <w:t xml:space="preserve">Procesamiento estadístico.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IQR</w:t>
            </w:r>
          </w:p>
        </w:tc>
        <w:tc>
          <w:tcPr/>
          <w:p>
            <w:pPr>
              <w:pStyle w:val="Compact"/>
            </w:pPr>
            <w:r>
              <w:t xml:space="preserve">Interquartile Range</w:t>
            </w:r>
          </w:p>
        </w:tc>
        <w:tc>
          <w:tcPr/>
          <w:p>
            <w:pPr>
              <w:pStyle w:val="Compact"/>
            </w:pPr>
            <w:r>
              <w:t xml:space="preserve">Medida de dispersión robusta.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nIQR</w:t>
            </w:r>
          </w:p>
        </w:tc>
        <w:tc>
          <w:tcPr/>
          <w:p>
            <w:pPr>
              <w:pStyle w:val="Compact"/>
            </w:pPr>
            <w:r>
              <w:t xml:space="preserve">Normalized IQR</w:t>
            </w:r>
          </w:p>
        </w:tc>
        <w:tc>
          <w:tcPr/>
          <w:p>
            <w:pPr>
              <w:pStyle w:val="Compact"/>
            </w:pPr>
            <w:r>
              <w:t xml:space="preserve">Medida de dispersión estandarizada.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Median Absolute Deviation</w:t>
            </w:r>
          </w:p>
        </w:tc>
        <w:tc>
          <w:tcPr/>
          <w:p>
            <w:pPr>
              <w:pStyle w:val="Compact"/>
            </w:pPr>
            <w:r>
              <w:t xml:space="preserve">Medida de dispersión robusta.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MADe</w:t>
            </w:r>
          </w:p>
        </w:tc>
        <w:tc>
          <w:tcPr/>
          <w:p>
            <w:pPr>
              <w:pStyle w:val="Compact"/>
            </w:pPr>
            <w:r>
              <w:t xml:space="preserve">Scaled/Normalized MAD</w:t>
            </w:r>
          </w:p>
        </w:tc>
        <w:tc>
          <w:tcPr/>
          <w:p>
            <w:pPr>
              <w:pStyle w:val="Compact"/>
            </w:pPr>
            <w:r>
              <w:t xml:space="preserve">Medida de dispersión estandarizada.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Comma-Separated Values</w:t>
            </w:r>
          </w:p>
        </w:tc>
        <w:tc>
          <w:tcPr/>
          <w:p>
            <w:pPr>
              <w:pStyle w:val="Compact"/>
            </w:pPr>
            <w:r>
              <w:t xml:space="preserve">Formato de archivo de datos.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RMD</w:t>
            </w:r>
          </w:p>
        </w:tc>
        <w:tc>
          <w:tcPr/>
          <w:p>
            <w:pPr>
              <w:pStyle w:val="Compact"/>
            </w:pPr>
            <w:r>
              <w:t xml:space="preserve">RMarkdown</w:t>
            </w:r>
          </w:p>
        </w:tc>
        <w:tc>
          <w:tcPr/>
          <w:p>
            <w:pPr>
              <w:pStyle w:val="Compact"/>
            </w:pPr>
            <w:r>
              <w:t xml:space="preserve">Formato de generación de documentos.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Measurement Uncertainty</w:t>
            </w:r>
          </w:p>
        </w:tc>
        <w:tc>
          <w:tcPr/>
          <w:p>
            <w:pPr>
              <w:pStyle w:val="Compact"/>
            </w:pPr>
            <w:r>
              <w:t xml:space="preserve">Concepto general de incertidumbre.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CALAIRE</w:t>
            </w:r>
          </w:p>
        </w:tc>
        <w:tc>
          <w:tcPr/>
          <w:p>
            <w:pPr>
              <w:pStyle w:val="Compact"/>
            </w:pPr>
            <w:r>
              <w:t xml:space="preserve">Laboratorio de Calidad del Aire</w:t>
            </w:r>
          </w:p>
        </w:tc>
        <w:tc>
          <w:tcPr/>
          <w:p>
            <w:pPr>
              <w:pStyle w:val="Compact"/>
            </w:pPr>
            <w:r>
              <w:t xml:space="preserve">Nombre del laboratorio de referencia.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símbolos-de-fórmulas"/>
    <w:p>
      <w:pPr>
        <w:pStyle w:val="Heading2"/>
      </w:pPr>
      <w:r>
        <w:t xml:space="preserve">18. Símbolos de Fórmulas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3217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Contexto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Valor reportado por el participante</w:t>
            </w:r>
          </w:p>
        </w:tc>
        <w:tc>
          <w:tcPr/>
          <w:p>
            <w:pPr>
              <w:pStyle w:val="Compact"/>
            </w:pPr>
            <w:r>
              <w:t xml:space="preserve">Puntuación del desempeño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Valor asignado</w:t>
            </w:r>
          </w:p>
        </w:tc>
        <w:tc>
          <w:tcPr/>
          <w:p>
            <w:pPr>
              <w:pStyle w:val="Compact"/>
            </w:pPr>
            <w:r>
              <w:t xml:space="preserve">Puntuación del desempeño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Media robusta (Algoritmo A)</w:t>
            </w:r>
          </w:p>
        </w:tc>
        <w:tc>
          <w:tcPr/>
          <w:p>
            <w:pPr>
              <w:pStyle w:val="Compact"/>
            </w:pPr>
            <w:r>
              <w:t xml:space="preserve">Estadísticos robustos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Desviación estándar objetivo</w:t>
            </w:r>
          </w:p>
        </w:tc>
        <w:tc>
          <w:tcPr/>
          <w:p>
            <w:pPr>
              <w:pStyle w:val="Compact"/>
            </w:pPr>
            <w:r>
              <w:t xml:space="preserve">Puntuación del desempeño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Desviación estándar robusta</w:t>
            </w:r>
          </w:p>
        </w:tc>
        <w:tc>
          <w:tcPr/>
          <w:p>
            <w:pPr>
              <w:pStyle w:val="Compact"/>
            </w:pPr>
            <w:r>
              <w:t xml:space="preserve">Estadísticos robustos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x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Incertidumbre estándar del participante</w:t>
            </w:r>
          </w:p>
        </w:tc>
        <w:tc>
          <w:tcPr/>
          <w:p>
            <w:pPr>
              <w:pStyle w:val="Compact"/>
            </w:pPr>
            <w:r>
              <w:t xml:space="preserve">Incertidumbre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Incertidumbre estándar del valor asignado</w:t>
            </w:r>
          </w:p>
        </w:tc>
        <w:tc>
          <w:tcPr/>
          <w:p>
            <w:pPr>
              <w:pStyle w:val="Compact"/>
            </w:pPr>
            <w:r>
              <w:t xml:space="preserve">Incertidumbre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Incertidumbre de homogeneidad</w:t>
            </w:r>
          </w:p>
        </w:tc>
        <w:tc>
          <w:tcPr/>
          <w:p>
            <w:pPr>
              <w:pStyle w:val="Compact"/>
            </w:pPr>
            <w:r>
              <w:t xml:space="preserve">Criterios de calidad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Incertidumbre de estabilidad</w:t>
            </w:r>
          </w:p>
        </w:tc>
        <w:tc>
          <w:tcPr/>
          <w:p>
            <w:pPr>
              <w:pStyle w:val="Compact"/>
            </w:pPr>
            <w:r>
              <w:t xml:space="preserve">Criterios de calidad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ν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Grados de libertad efectivos</w:t>
            </w:r>
          </w:p>
        </w:tc>
        <w:tc>
          <w:tcPr/>
          <w:p>
            <w:pPr>
              <w:pStyle w:val="Compact"/>
            </w:pPr>
            <w:r>
              <w:t xml:space="preserve">Propagación de la incertidumbre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</w:pPr>
            <w:r>
              <w:t xml:space="preserve">Nivel de significancia</w:t>
            </w:r>
          </w:p>
        </w:tc>
        <w:tc>
          <w:tcPr/>
          <w:p>
            <w:pPr>
              <w:pStyle w:val="Compact"/>
            </w:pPr>
            <w:r>
              <w:t xml:space="preserve">Pruebas estadísticas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Factor de cobertura</w:t>
            </w:r>
          </w:p>
        </w:tc>
        <w:tc>
          <w:tcPr/>
          <w:p>
            <w:pPr>
              <w:pStyle w:val="Compact"/>
            </w:pPr>
            <w:r>
              <w:t xml:space="preserve">Incertidumbre (usualmente k=2)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4" w:name="referencias-cruzadas"/>
    <w:p>
      <w:pPr>
        <w:pStyle w:val="Heading2"/>
      </w:pPr>
      <w:r>
        <w:t xml:space="preserve">19. Referencias Cruzadas</w:t>
      </w:r>
    </w:p>
    <w:p>
      <w:pPr>
        <w:pStyle w:val="FirstParagraph"/>
      </w:pPr>
      <w:r>
        <w:t xml:space="preserve">Para información detallada sobre temas específicos: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Estadísticos Robustos</w:t>
      </w:r>
      <w:r>
        <w:t xml:space="preserve">:</w:t>
      </w:r>
      <w:r>
        <w:t xml:space="preserve"> </w:t>
      </w:r>
      <w:hyperlink r:id="rId29">
        <w:r>
          <w:rPr>
            <w:rStyle w:val="Hyperlink"/>
          </w:rPr>
          <w:t xml:space="preserve">03_pt_robust_stats.md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Homogeneidad/Estabilidad</w:t>
      </w:r>
      <w:r>
        <w:t xml:space="preserve">:</w:t>
      </w:r>
      <w:r>
        <w:t xml:space="preserve"> </w:t>
      </w:r>
      <w:hyperlink r:id="rId30">
        <w:r>
          <w:rPr>
            <w:rStyle w:val="Hyperlink"/>
          </w:rPr>
          <w:t xml:space="preserve">04_pt_homogeneity.md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Puntajes PT</w:t>
      </w:r>
      <w:r>
        <w:t xml:space="preserve">:</w:t>
      </w:r>
      <w:r>
        <w:t xml:space="preserve"> </w:t>
      </w:r>
      <w:hyperlink r:id="rId31">
        <w:r>
          <w:rPr>
            <w:rStyle w:val="Hyperlink"/>
          </w:rPr>
          <w:t xml:space="preserve">05_pt_scores.md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Compatibilidad Metrológica</w:t>
      </w:r>
      <w:r>
        <w:t xml:space="preserve">:</w:t>
      </w:r>
      <w:r>
        <w:t xml:space="preserve"> </w:t>
      </w:r>
      <w:hyperlink r:id="rId32">
        <w:r>
          <w:rPr>
            <w:rStyle w:val="Hyperlink"/>
          </w:rPr>
          <w:t xml:space="preserve">08_compatibilidad.md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Formatos de Datos</w:t>
      </w:r>
      <w:r>
        <w:t xml:space="preserve">:</w:t>
      </w:r>
      <w:r>
        <w:t xml:space="preserve"> </w:t>
      </w:r>
      <w:hyperlink r:id="rId33">
        <w:r>
          <w:rPr>
            <w:rStyle w:val="Hyperlink"/>
          </w:rPr>
          <w:t xml:space="preserve">01_carga_datos.md</w:t>
        </w:r>
      </w:hyperlink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../01_carga_datos.md" TargetMode="External" /><Relationship Type="http://schemas.openxmlformats.org/officeDocument/2006/relationships/hyperlink" Id="rId29" Target="../03_pt_robust_stats.md" TargetMode="External" /><Relationship Type="http://schemas.openxmlformats.org/officeDocument/2006/relationships/hyperlink" Id="rId30" Target="../04_pt_homogeneity.md" TargetMode="External" /><Relationship Type="http://schemas.openxmlformats.org/officeDocument/2006/relationships/hyperlink" Id="rId31" Target="../05_pt_scores.md" TargetMode="External" /><Relationship Type="http://schemas.openxmlformats.org/officeDocument/2006/relationships/hyperlink" Id="rId32" Target="../08_compatibilida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../01_carga_datos.md" TargetMode="External" /><Relationship Type="http://schemas.openxmlformats.org/officeDocument/2006/relationships/hyperlink" Id="rId29" Target="../03_pt_robust_stats.md" TargetMode="External" /><Relationship Type="http://schemas.openxmlformats.org/officeDocument/2006/relationships/hyperlink" Id="rId30" Target="../04_pt_homogeneity.md" TargetMode="External" /><Relationship Type="http://schemas.openxmlformats.org/officeDocument/2006/relationships/hyperlink" Id="rId31" Target="../05_pt_scores.md" TargetMode="External" /><Relationship Type="http://schemas.openxmlformats.org/officeDocument/2006/relationships/hyperlink" Id="rId32" Target="../08_compatibilida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2026-01-24T01:33:34Z</dcterms:created>
  <dcterms:modified xsi:type="dcterms:W3CDTF">2026-01-24T01:33:34Z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