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X851b609cb4def0dd77d4657a83907377fd22a78"/>
      <w:bookmarkEnd w:id="0"/>
      <w:r>
        <w:rPr/>
        <w:t>Informe de Validación - Aplicación PT/ptcalc</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resumen-ejecutivo"/>
      <w:r>
        <w:rPr/>
        <w:t>Resumen Ejecutivo</w:t>
      </w:r>
    </w:p>
    <w:p>
      <w:pPr>
        <w:pStyle w:val="FirstParagraph"/>
        <w:rPr/>
      </w:pPr>
      <w:r>
        <w:rPr/>
        <w:t>Este informe consolida la validación técnica de la aplicación PT/ptcalc a la fecha del 2026-03-13 e incorpora dos ciclos de revisión externa, nueve hallazgos identificados durante dichas revisiones y una validación cruzada específica del Algoritmo A definido en la ISO 13528:2022.</w:t>
      </w:r>
    </w:p>
    <w:p>
      <w:pPr>
        <w:pStyle w:val="BodyText"/>
        <w:rPr/>
      </w:pPr>
      <w:r>
        <w:rPr/>
        <w:t xml:space="preserve">La evidencia reunida en esta versión muestra que el </w:t>
      </w:r>
      <w:r>
        <w:rPr>
          <w:b/>
          <w:bCs/>
        </w:rPr>
        <w:t>núcleo estadístico del aplicativo es correcto, reproducible y trazable</w:t>
      </w:r>
      <w:r>
        <w:rPr/>
        <w:t xml:space="preserve"> para los cálculos de homogeneidad, estabilidad, estadísticos robustos y puntajes de desempeño. Las correcciones H1-H9 fueron incorporadas en el código y en la interfaz del aplicativo, y la validación cruzada del Algoritmo A confirmó concordancia total en las iteraciones comunes y concordancia final en 9 de 10 combinaciones evaluadas.</w:t>
      </w:r>
    </w:p>
    <w:p>
      <w:pPr>
        <w:pStyle w:val="Heading3"/>
        <w:rPr/>
      </w:pPr>
      <w:r>
        <w:rPr/>
        <w:t>Síntesis de resultados vigentes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Evidencia</w:t>
            </w:r>
          </w:p>
        </w:tc>
        <w:tc>
          <w:tcPr>
            <w:tcW w:w="468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Resultado</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tests/testthat/test-algorithm-a.R</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Validación satisfactoria</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deliv/09_informe_final/tests/test_09_reproducibilidad.R</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Validación satisfactoria</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tests/testthat</w:t>
            </w:r>
            <w:r>
              <w:rPr>
                <w:rFonts w:eastAsia="" w:cs=""/>
                <w:kern w:val="0"/>
                <w:sz w:val="24"/>
                <w:szCs w:val="24"/>
                <w:lang w:val="en-US" w:eastAsia="zh-CN" w:bidi="ar-SA"/>
              </w:rPr>
              <w:t xml:space="preserve"> (suite raíz)</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Evidencia complementaria revisada</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Validación cruzada Algoritmo A: R vs Excel validación</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10/10 PASS</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Validación cruzada Algoritmo A: R vs VIVO equivalente</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10/10 PASS en iteraciones comunes</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Estado de hallazgos H1-H9</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9/9 cerrados</w:t>
            </w:r>
            <w:bookmarkStart w:id="2" w:name="síntesis-de-resultados-vigentes"/>
            <w:bookmarkEnd w:id="2"/>
          </w:p>
        </w:tc>
      </w:tr>
    </w:tbl>
    <w:p>
      <w:pPr>
        <w:pStyle w:val="Heading3"/>
        <w:rPr/>
      </w:pPr>
      <w:r>
        <w:rPr/>
        <w:t>Conclusión ejecutiva</w:t>
      </w:r>
    </w:p>
    <w:p>
      <w:pPr>
        <w:pStyle w:val="FirstParagraph"/>
        <w:rPr/>
      </w:pPr>
      <w:r>
        <w:rPr/>
        <w:t xml:space="preserve">Se considera que la aplicación </w:t>
      </w:r>
      <w:r>
        <w:rPr>
          <w:b/>
          <w:bCs/>
        </w:rPr>
        <w:t>cumple funcional y estadísticamente</w:t>
      </w:r>
      <w:r>
        <w:rPr/>
        <w:t xml:space="preserve"> con los requisitos evaluados de </w:t>
      </w:r>
      <w:r>
        <w:rPr>
          <w:b/>
          <w:bCs/>
        </w:rPr>
        <w:t>ISO 13528:2022</w:t>
      </w:r>
      <w:r>
        <w:rPr/>
        <w:t xml:space="preserve"> e implementa controles coherentes con </w:t>
      </w:r>
      <w:r>
        <w:rPr>
          <w:b/>
          <w:bCs/>
        </w:rPr>
        <w:t>ISO 17043:202</w:t>
      </w:r>
      <w:r>
        <w:rPr>
          <w:b/>
          <w:bCs/>
        </w:rPr>
        <w:t>3</w:t>
      </w:r>
      <w:r>
        <w:rPr/>
        <w:t xml:space="preserve"> para la preparación y evaluación de ensayos de aptitud. Los artefactos documentales complementarios podrán seguir fortaleciéndose en una actualización posterior, sin afectar esta conclusión principal.</w:t>
      </w:r>
    </w:p>
    <w:p>
      <w:pPr>
        <w:pStyle w:val="Normal"/>
        <w:rPr/>
      </w:pPr>
      <w:bookmarkStart w:id="3" w:name="resumen-ejecutivo"/>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2"/>
        <w:rPr/>
      </w:pPr>
      <w:bookmarkStart w:id="4" w:name="alcance-de-la-validación"/>
      <w:r>
        <w:rPr/>
        <w:t>1. Alcance de la Validación</w:t>
      </w:r>
    </w:p>
    <w:p>
      <w:pPr>
        <w:pStyle w:val="FirstParagraph"/>
        <w:rPr/>
      </w:pPr>
      <w:r>
        <w:rPr/>
        <w:t xml:space="preserve">La validación cubierta por este documento comprende el motor de cálculo en R, la aplicación Shiny </w:t>
      </w:r>
      <w:r>
        <w:rPr>
          <w:rStyle w:val="VerbatimChar"/>
        </w:rPr>
        <w:t>app.R</w:t>
      </w:r>
      <w:r>
        <w:rPr/>
        <w:t>, las funciones auxiliares del entregable beta y los artefactos de verificación desarrollados. El objetivo no fue solamente verificar que el aplicativo produce salidas, sino demostrar que las fórmulas implementadas corresponden a la norma, que las correcciones solicitadas por la revisión externa fueron incorporadas, y que el flujo de uso resulta auditable por terceros.</w:t>
      </w:r>
    </w:p>
    <w:p>
      <w:pPr>
        <w:pStyle w:val="Heading3"/>
        <w:rPr/>
      </w:pPr>
      <w:r>
        <w:rPr/>
        <w:t>1.1 Componentes revisados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552"/>
        <w:gridCol w:w="5106"/>
        <w:gridCol w:w="1702"/>
      </w:tblGrid>
      <w:tr>
        <w:trPr>
          <w:tblHeader w:val="true"/>
        </w:trPr>
        <w:tc>
          <w:tcPr>
            <w:tcW w:w="255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Componente</w:t>
            </w:r>
          </w:p>
        </w:tc>
        <w:tc>
          <w:tcPr>
            <w:tcW w:w="5106"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Alcance de la revisión</w:t>
            </w:r>
          </w:p>
        </w:tc>
        <w:tc>
          <w:tcPr>
            <w:tcW w:w="170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Estado</w:t>
            </w:r>
          </w:p>
        </w:tc>
      </w:tr>
      <w:tr>
        <w:trPr/>
        <w:tc>
          <w:tcPr>
            <w:tcW w:w="255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ptcalc/R/pt_robust_stats.R</w:t>
            </w:r>
          </w:p>
        </w:tc>
        <w:tc>
          <w:tcPr>
            <w:tcW w:w="510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Algoritmo A, nIQR, MADe</w:t>
            </w:r>
          </w:p>
        </w:tc>
        <w:tc>
          <w:tcPr>
            <w:tcW w:w="170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Validado</w:t>
            </w:r>
          </w:p>
        </w:tc>
      </w:tr>
      <w:tr>
        <w:trPr/>
        <w:tc>
          <w:tcPr>
            <w:tcW w:w="255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R/pt_homogeneity.R</w:t>
            </w:r>
          </w:p>
        </w:tc>
        <w:tc>
          <w:tcPr>
            <w:tcW w:w="510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Homogeneidad, estabilidad, criterios ISO</w:t>
            </w:r>
          </w:p>
        </w:tc>
        <w:tc>
          <w:tcPr>
            <w:tcW w:w="170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Validado</w:t>
            </w:r>
          </w:p>
        </w:tc>
      </w:tr>
      <w:tr>
        <w:trPr/>
        <w:tc>
          <w:tcPr>
            <w:tcW w:w="255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app.R</w:t>
            </w:r>
          </w:p>
        </w:tc>
        <w:tc>
          <w:tcPr>
            <w:tcW w:w="510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Orquestación, UI, trazabilidad, exportaciones</w:t>
            </w:r>
          </w:p>
        </w:tc>
        <w:tc>
          <w:tcPr>
            <w:tcW w:w="170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Validado con mejoras H3/H4/H7/H8/H9</w:t>
            </w:r>
          </w:p>
        </w:tc>
      </w:tr>
      <w:tr>
        <w:trPr/>
        <w:tc>
          <w:tcPr>
            <w:tcW w:w="255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deliv/08_beta/R/funciones_finales.R</w:t>
            </w:r>
          </w:p>
        </w:tc>
        <w:tc>
          <w:tcPr>
            <w:tcW w:w="510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Coherencia del entregable beta</w:t>
            </w:r>
          </w:p>
        </w:tc>
        <w:tc>
          <w:tcPr>
            <w:tcW w:w="170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Validado</w:t>
            </w:r>
          </w:p>
        </w:tc>
      </w:tr>
      <w:tr>
        <w:trPr/>
        <w:tc>
          <w:tcPr>
            <w:tcW w:w="255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VAL_sonnet/*</w:t>
            </w:r>
          </w:p>
        </w:tc>
        <w:tc>
          <w:tcPr>
            <w:tcW w:w="510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Validación cruzada Algoritmo A</w:t>
            </w:r>
          </w:p>
        </w:tc>
        <w:tc>
          <w:tcPr>
            <w:tcW w:w="170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Validado</w:t>
            </w:r>
          </w:p>
        </w:tc>
      </w:tr>
      <w:tr>
        <w:trPr/>
        <w:tc>
          <w:tcPr>
            <w:tcW w:w="255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tests/testthat/*</w:t>
            </w:r>
            <w:r>
              <w:rPr>
                <w:rFonts w:eastAsia="" w:cs=""/>
                <w:kern w:val="0"/>
                <w:sz w:val="24"/>
                <w:szCs w:val="24"/>
                <w:lang w:val="en-US" w:eastAsia="zh-CN" w:bidi="ar-SA"/>
              </w:rPr>
              <w:t xml:space="preserve"> y </w:t>
            </w:r>
            <w:r>
              <w:rPr>
                <w:rStyle w:val="VerbatimChar"/>
                <w:rFonts w:eastAsia="" w:cs=""/>
                <w:kern w:val="0"/>
                <w:szCs w:val="24"/>
                <w:lang w:val="en-US" w:eastAsia="zh-CN" w:bidi="ar-SA"/>
              </w:rPr>
              <w:t>deliv/09_informe_final/tests/*</w:t>
            </w:r>
          </w:p>
        </w:tc>
        <w:tc>
          <w:tcPr>
            <w:tcW w:w="5106"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Evidencia automatizada disponible</w:t>
            </w:r>
          </w:p>
        </w:tc>
        <w:tc>
          <w:tcPr>
            <w:tcW w:w="170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Validado</w:t>
            </w:r>
            <w:bookmarkStart w:id="5" w:name="componentes-revisados"/>
            <w:bookmarkEnd w:id="5"/>
          </w:p>
        </w:tc>
      </w:tr>
    </w:tbl>
    <w:p>
      <w:pPr>
        <w:pStyle w:val="Heading3"/>
        <w:rPr/>
      </w:pPr>
      <w:r>
        <w:rPr/>
        <w:t>1.2 Referencias normativas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978"/>
        <w:gridCol w:w="6382"/>
      </w:tblGrid>
      <w:tr>
        <w:trPr>
          <w:tblHeader w:val="true"/>
        </w:trPr>
        <w:tc>
          <w:tcPr>
            <w:tcW w:w="2978"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Norma</w:t>
            </w:r>
          </w:p>
        </w:tc>
        <w:tc>
          <w:tcPr>
            <w:tcW w:w="638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Tema validado</w:t>
            </w:r>
          </w:p>
        </w:tc>
      </w:tr>
      <w:tr>
        <w:trPr/>
        <w:tc>
          <w:tcPr>
            <w:tcW w:w="297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ISO 13528:2022</w:t>
            </w:r>
          </w:p>
        </w:tc>
        <w:tc>
          <w:tcPr>
            <w:tcW w:w="638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Homogeneidad, estabilidad, estadísticos robustos, Algoritmo A, puntajes</w:t>
            </w:r>
          </w:p>
        </w:tc>
      </w:tr>
      <w:tr>
        <w:trPr/>
        <w:tc>
          <w:tcPr>
            <w:tcW w:w="297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ISO 17043:202</w:t>
            </w:r>
            <w:r>
              <w:rPr>
                <w:rFonts w:eastAsia="" w:cs=""/>
                <w:kern w:val="0"/>
                <w:sz w:val="24"/>
                <w:szCs w:val="24"/>
                <w:lang w:val="en-US" w:eastAsia="zh-CN" w:bidi="ar-SA"/>
              </w:rPr>
              <w:t>3</w:t>
            </w:r>
          </w:p>
        </w:tc>
        <w:tc>
          <w:tcPr>
            <w:tcW w:w="638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Trazabilidad operativa, evaluación de desempeño, preparación de ítems</w:t>
            </w:r>
          </w:p>
        </w:tc>
      </w:tr>
    </w:tbl>
    <w:p>
      <w:pPr>
        <w:pStyle w:val="Heading3"/>
        <w:rPr/>
      </w:pPr>
      <w:r>
        <w:rPr/>
        <w:t>1.3 Fuentes de evidencia utilizadas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496"/>
        <w:gridCol w:w="6864"/>
      </w:tblGrid>
      <w:tr>
        <w:trPr>
          <w:tblHeader w:val="true"/>
        </w:trPr>
        <w:tc>
          <w:tcPr>
            <w:tcW w:w="2496"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Fuente</w:t>
            </w:r>
          </w:p>
        </w:tc>
        <w:tc>
          <w:tcPr>
            <w:tcW w:w="6864"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Rol en la validación</w:t>
            </w:r>
          </w:p>
        </w:tc>
      </w:tr>
      <w:tr>
        <w:trPr/>
        <w:tc>
          <w:tcPr>
            <w:tcW w:w="2496"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rev_1.xlsx</w:t>
            </w:r>
          </w:p>
        </w:tc>
        <w:tc>
          <w:tcPr>
            <w:tcW w:w="686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Primera revisión externa con recálculo independiente</w:t>
            </w:r>
          </w:p>
        </w:tc>
      </w:tr>
      <w:tr>
        <w:trPr/>
        <w:tc>
          <w:tcPr>
            <w:tcW w:w="2496"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rta rev1.pdf</w:t>
            </w:r>
          </w:p>
        </w:tc>
        <w:tc>
          <w:tcPr>
            <w:tcW w:w="686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Registro de cinco diferencias detectadas y su aclaración</w:t>
            </w:r>
          </w:p>
        </w:tc>
      </w:tr>
      <w:tr>
        <w:trPr/>
        <w:tc>
          <w:tcPr>
            <w:tcW w:w="2496"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Revisión aplicativo estadístico.pdf</w:t>
            </w:r>
          </w:p>
        </w:tc>
        <w:tc>
          <w:tcPr>
            <w:tcW w:w="686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Segunda revisión externa, 2026-02-23</w:t>
            </w:r>
          </w:p>
        </w:tc>
      </w:tr>
      <w:tr>
        <w:trPr/>
        <w:tc>
          <w:tcPr>
            <w:tcW w:w="2496"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VAL_sonnet/info.md</w:t>
            </w:r>
          </w:p>
        </w:tc>
        <w:tc>
          <w:tcPr>
            <w:tcW w:w="686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Informe de validación cruzada del Algoritmo A</w:t>
            </w:r>
          </w:p>
        </w:tc>
      </w:tr>
      <w:tr>
        <w:trPr/>
        <w:tc>
          <w:tcPr>
            <w:tcW w:w="2496"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tests/testthat/test-algorithm-a.R</w:t>
            </w:r>
          </w:p>
        </w:tc>
        <w:tc>
          <w:tcPr>
            <w:tcW w:w="686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Validación automatizada del Algoritmo A</w:t>
            </w:r>
          </w:p>
        </w:tc>
      </w:tr>
      <w:tr>
        <w:trPr/>
        <w:tc>
          <w:tcPr>
            <w:tcW w:w="2496"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deliv/09_informe_final/tests/test_09_reproducibilidad.R</w:t>
            </w:r>
          </w:p>
        </w:tc>
        <w:tc>
          <w:tcPr>
            <w:tcW w:w="686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Reproducibilidad funcional</w:t>
            </w:r>
          </w:p>
        </w:tc>
      </w:tr>
    </w:tbl>
    <w:p>
      <w:pPr>
        <w:pStyle w:val="Normal"/>
        <w:rPr/>
      </w:pPr>
      <w:bookmarkStart w:id="6" w:name="alcance-de-la-validación"/>
      <w:r>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ciclo-de-revisión-y-hallazgos"/>
      <w:r>
        <w:rPr/>
        <w:t>2. Ciclo de Revisión y Hallazgos</w:t>
      </w:r>
    </w:p>
    <w:p>
      <w:pPr>
        <w:pStyle w:val="FirstParagraph"/>
        <w:rPr/>
      </w:pPr>
      <w:r>
        <w:rPr/>
      </w:r>
    </w:p>
    <w:p>
      <w:pPr>
        <w:pStyle w:val="Heading3"/>
        <w:rPr/>
      </w:pPr>
      <w:r>
        <w:rPr/>
        <w:t>2.1 Primera revisión externa</w:t>
      </w:r>
    </w:p>
    <w:p>
      <w:pPr>
        <w:pStyle w:val="FirstParagraph"/>
        <w:rPr/>
      </w:pPr>
      <w:r>
        <w:rPr/>
        <w:t xml:space="preserve">La primera revisión se realizó mediante </w:t>
      </w:r>
      <w:r>
        <w:rPr>
          <w:rStyle w:val="VerbatimChar"/>
        </w:rPr>
        <w:t>rev_1.xlsx</w:t>
      </w:r>
      <w:r>
        <w:rPr/>
        <w:t xml:space="preserve">, en la cual se replicaron los cálculos del aplicativo en una hoja independiente. La respuesta formal registrada en </w:t>
      </w:r>
      <w:r>
        <w:rPr>
          <w:rStyle w:val="VerbatimChar"/>
        </w:rPr>
        <w:t>rta rev1.pdf</w:t>
      </w:r>
      <w:r>
        <w:rPr/>
        <w:t xml:space="preserve"> documentó cinco diferencias concretas: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7732"/>
        <w:gridCol w:w="1628"/>
      </w:tblGrid>
      <w:tr>
        <w:trPr>
          <w:tblHeader w:val="true"/>
        </w:trPr>
        <w:tc>
          <w:tcPr>
            <w:tcW w:w="773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Diferencia detectada en la revisión 1</w:t>
            </w:r>
          </w:p>
        </w:tc>
        <w:tc>
          <w:tcPr>
            <w:tcW w:w="1628"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Estado</w:t>
            </w:r>
          </w:p>
        </w:tc>
      </w:tr>
      <w:tr>
        <w:trPr/>
        <w:tc>
          <w:tcPr>
            <w:tcW w:w="773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Signo incorrecto en un dato de entrada de homogeneidad</w:t>
            </w:r>
          </w:p>
        </w:tc>
        <w:tc>
          <w:tcPr>
            <w:tcW w:w="162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Corregido en la hoja externa</w:t>
            </w:r>
          </w:p>
        </w:tc>
      </w:tr>
      <w:tr>
        <w:trPr/>
        <w:tc>
          <w:tcPr>
            <w:tcW w:w="773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Fórmula B.10 de homogeneidad sin manejo correcto del radicando negativo</w:t>
            </w:r>
          </w:p>
        </w:tc>
        <w:tc>
          <w:tcPr>
            <w:tcW w:w="162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Corregido en código</w:t>
            </w:r>
          </w:p>
        </w:tc>
      </w:tr>
      <w:tr>
        <w:trPr/>
        <w:tc>
          <w:tcPr>
            <w:tcW w:w="773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Rango erróneo en cálculo de estabilidad en la hoja</w:t>
            </w:r>
          </w:p>
        </w:tc>
        <w:tc>
          <w:tcPr>
            <w:tcW w:w="162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Corregido en la hoja externa</w:t>
            </w:r>
          </w:p>
        </w:tc>
      </w:tr>
      <w:tr>
        <w:trPr/>
        <w:tc>
          <w:tcPr>
            <w:tcW w:w="773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Cálculo de MADe con 3 datos en vez de 10</w:t>
            </w:r>
          </w:p>
        </w:tc>
        <w:tc>
          <w:tcPr>
            <w:tcW w:w="162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Corregido y documentado</w:t>
            </w:r>
          </w:p>
        </w:tc>
      </w:tr>
      <w:tr>
        <w:trPr/>
        <w:tc>
          <w:tcPr>
            <w:tcW w:w="773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Cálculo de nIQR con rango heredado de 3 datos</w:t>
            </w:r>
          </w:p>
        </w:tc>
        <w:tc>
          <w:tcPr>
            <w:tcW w:w="162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Corregido y documentado</w:t>
            </w:r>
            <w:bookmarkStart w:id="8" w:name="primera-revisión-externa"/>
            <w:bookmarkEnd w:id="8"/>
          </w:p>
        </w:tc>
      </w:tr>
    </w:tbl>
    <w:p>
      <w:pPr>
        <w:pStyle w:val="Heading3"/>
        <w:rPr/>
      </w:pPr>
      <w:r>
        <w:rPr/>
        <w:t>2.2 Segunda revisión externa</w:t>
      </w:r>
    </w:p>
    <w:p>
      <w:pPr>
        <w:pStyle w:val="FirstParagraph"/>
        <w:rPr/>
      </w:pPr>
      <w:r>
        <w:rPr/>
        <w:t xml:space="preserve">El documento </w:t>
      </w:r>
      <w:r>
        <w:rPr>
          <w:rStyle w:val="VerbatimChar"/>
        </w:rPr>
        <w:t>Revisión aplicativo estadístico.pdf</w:t>
      </w:r>
      <w:r>
        <w:rPr/>
        <w:t>, fechado el 2026-02-23, confirmó nuevamente el problema de la fórmula B.10 y señaló dos temas de fondo: la necesidad de separar el MADe de homogeneidad del MADe de participantes, y la necesidad de hacer visible la trazabilidad de los datos de entrada para que una validación externa no dependa de inferencias desde CSV crudos.</w:t>
      </w:r>
    </w:p>
    <w:p>
      <w:pPr>
        <w:pStyle w:val="BodyText"/>
        <w:rPr/>
      </w:pPr>
      <w:r>
        <w:rPr/>
        <w:t>Esta segunda revisión también dejó explícito que, para tamaños muestrales de doce participantes o más, el método robusto preferente debía ser el Algoritmo A en lugar de usar MADe como sustituto operativo.</w:t>
      </w:r>
    </w:p>
    <w:p>
      <w:pPr>
        <w:pStyle w:val="Heading3"/>
        <w:rPr/>
      </w:pPr>
      <w:bookmarkStart w:id="9" w:name="respuesta-de-implementación"/>
      <w:r>
        <w:rPr/>
        <w:t>2.3 Respuesta de implementación</w:t>
      </w:r>
    </w:p>
    <w:p>
      <w:pPr>
        <w:pStyle w:val="FirstParagraph"/>
        <w:rPr/>
      </w:pPr>
      <w:bookmarkStart w:id="10" w:name="respuesta-de-implementación"/>
      <w:r>
        <w:rPr/>
        <w:t>Las observaciones anteriores se tradujeron en nueve hallazgos H1-H9, cerrados mediante cambios de código, cambios de interfaz y mejoras de exportación. El cierre no fue únicamente cosmético: cada hallazgo afecta la capacidad de un tercero para reproducir o confiar en los resultados.</w:t>
      </w:r>
      <w:bookmarkEnd w:id="10"/>
    </w:p>
    <w:p>
      <w:pPr>
        <w:pStyle w:val="Heading3"/>
        <w:rPr/>
      </w:pPr>
      <w:bookmarkStart w:id="11" w:name="tabla-consolidada-de-hallazgos-h1-h9"/>
      <w:r>
        <w:rPr/>
        <w:t>2.4 Tabla consolidada de hallazgos H1-H9</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935"/>
        <w:gridCol w:w="2340"/>
        <w:gridCol w:w="6085"/>
      </w:tblGrid>
      <w:tr>
        <w:trPr>
          <w:tblHeader w:val="true"/>
        </w:trPr>
        <w:tc>
          <w:tcPr>
            <w:tcW w:w="935"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ID</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Hallazgo</w:t>
            </w:r>
          </w:p>
        </w:tc>
        <w:tc>
          <w:tcPr>
            <w:tcW w:w="6085"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Implementación de cierre</w:t>
            </w:r>
          </w:p>
        </w:tc>
      </w:tr>
      <w:tr>
        <w:trPr/>
        <w:tc>
          <w:tcPr>
            <w:tcW w:w="93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H1</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La fórmula B.10 podía producir un radicando negativo y un cálculo incorrecto de </w:t>
            </w:r>
            <w:r>
              <w:rPr>
                <w:rStyle w:val="VerbatimChar"/>
                <w:rFonts w:eastAsia="" w:cs=""/>
                <w:kern w:val="0"/>
                <w:szCs w:val="24"/>
                <w:lang w:val="en-US" w:eastAsia="zh-CN" w:bidi="ar-SA"/>
              </w:rPr>
              <w:t>ss</w:t>
            </w:r>
          </w:p>
        </w:tc>
        <w:tc>
          <w:tcPr>
            <w:tcW w:w="6085"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R/pt_homogeneity.R</w:t>
            </w:r>
            <w:r>
              <w:rPr>
                <w:rFonts w:eastAsia="" w:cs=""/>
                <w:kern w:val="0"/>
                <w:sz w:val="24"/>
                <w:szCs w:val="24"/>
                <w:lang w:val="en-US" w:eastAsia="zh-CN" w:bidi="ar-SA"/>
              </w:rPr>
              <w:t xml:space="preserve"> y </w:t>
            </w:r>
            <w:r>
              <w:rPr>
                <w:rStyle w:val="VerbatimChar"/>
                <w:rFonts w:eastAsia="" w:cs=""/>
                <w:kern w:val="0"/>
                <w:szCs w:val="24"/>
                <w:lang w:val="en-US" w:eastAsia="zh-CN" w:bidi="ar-SA"/>
              </w:rPr>
              <w:t>deliv/08_beta/R/funciones_finales.R</w:t>
            </w:r>
            <w:r>
              <w:rPr>
                <w:rFonts w:eastAsia="" w:cs=""/>
                <w:kern w:val="0"/>
                <w:sz w:val="24"/>
                <w:szCs w:val="24"/>
                <w:lang w:val="en-US" w:eastAsia="zh-CN" w:bidi="ar-SA"/>
              </w:rPr>
              <w:t xml:space="preserve"> fijan </w:t>
            </w:r>
            <w:r>
              <w:rPr>
                <w:rStyle w:val="VerbatimChar"/>
                <w:rFonts w:eastAsia="" w:cs=""/>
                <w:kern w:val="0"/>
                <w:szCs w:val="24"/>
                <w:lang w:val="en-US" w:eastAsia="zh-CN" w:bidi="ar-SA"/>
              </w:rPr>
              <w:t>ss &lt;- 0</w:t>
            </w:r>
            <w:r>
              <w:rPr>
                <w:rFonts w:eastAsia="" w:cs=""/>
                <w:kern w:val="0"/>
                <w:sz w:val="24"/>
                <w:szCs w:val="24"/>
                <w:lang w:val="en-US" w:eastAsia="zh-CN" w:bidi="ar-SA"/>
              </w:rPr>
              <w:t xml:space="preserve"> cuando </w:t>
            </w:r>
            <w:r>
              <w:rPr>
                <w:rStyle w:val="VerbatimChar"/>
                <w:rFonts w:eastAsia="" w:cs=""/>
                <w:kern w:val="0"/>
                <w:szCs w:val="24"/>
                <w:lang w:val="en-US" w:eastAsia="zh-CN" w:bidi="ar-SA"/>
              </w:rPr>
              <w:t>ss_sq &lt; 0</w:t>
            </w:r>
          </w:p>
        </w:tc>
      </w:tr>
      <w:tr>
        <w:trPr/>
        <w:tc>
          <w:tcPr>
            <w:tcW w:w="93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H2</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Ambigüedad entre el MADe de homogeneidad y el MADe de participantes</w:t>
            </w:r>
          </w:p>
        </w:tc>
        <w:tc>
          <w:tcPr>
            <w:tcW w:w="608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Renombrado explícito a </w:t>
            </w:r>
            <w:r>
              <w:rPr>
                <w:rStyle w:val="VerbatimChar"/>
                <w:rFonts w:eastAsia="" w:cs=""/>
                <w:kern w:val="0"/>
                <w:szCs w:val="24"/>
                <w:lang w:val="en-US" w:eastAsia="zh-CN" w:bidi="ar-SA"/>
              </w:rPr>
              <w:t>MADe_hom</w:t>
            </w:r>
            <w:r>
              <w:rPr>
                <w:rFonts w:eastAsia="" w:cs=""/>
                <w:kern w:val="0"/>
                <w:sz w:val="24"/>
                <w:szCs w:val="24"/>
                <w:lang w:val="en-US" w:eastAsia="zh-CN" w:bidi="ar-SA"/>
              </w:rPr>
              <w:t xml:space="preserve"> en </w:t>
            </w:r>
            <w:r>
              <w:rPr>
                <w:rStyle w:val="VerbatimChar"/>
                <w:rFonts w:eastAsia="" w:cs=""/>
                <w:kern w:val="0"/>
                <w:szCs w:val="24"/>
                <w:lang w:val="en-US" w:eastAsia="zh-CN" w:bidi="ar-SA"/>
              </w:rPr>
              <w:t>R/pt_homogeneity.R</w:t>
            </w:r>
          </w:p>
        </w:tc>
      </w:tr>
      <w:tr>
        <w:trPr/>
        <w:tc>
          <w:tcPr>
            <w:tcW w:w="93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H3</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Falta de trazabilidad de los datos usados en una corrida</w:t>
            </w:r>
          </w:p>
        </w:tc>
        <w:tc>
          <w:tcPr>
            <w:tcW w:w="6085"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app.R</w:t>
            </w:r>
            <w:r>
              <w:rPr>
                <w:rFonts w:eastAsia="" w:cs=""/>
                <w:kern w:val="0"/>
                <w:sz w:val="24"/>
                <w:szCs w:val="24"/>
                <w:lang w:val="en-US" w:eastAsia="zh-CN" w:bidi="ar-SA"/>
              </w:rPr>
              <w:t xml:space="preserve"> incorpora </w:t>
            </w:r>
            <w:r>
              <w:rPr>
                <w:rStyle w:val="VerbatimChar"/>
                <w:rFonts w:eastAsia="" w:cs=""/>
                <w:kern w:val="0"/>
                <w:szCs w:val="24"/>
                <w:lang w:val="en-US" w:eastAsia="zh-CN" w:bidi="ar-SA"/>
              </w:rPr>
              <w:t>run_metadata</w:t>
            </w:r>
            <w:r>
              <w:rPr>
                <w:rFonts w:eastAsia="" w:cs=""/>
                <w:kern w:val="0"/>
                <w:sz w:val="24"/>
                <w:szCs w:val="24"/>
                <w:lang w:val="en-US" w:eastAsia="zh-CN" w:bidi="ar-SA"/>
              </w:rPr>
              <w:t xml:space="preserve"> para registrar contexto y parámetros</w:t>
            </w:r>
          </w:p>
        </w:tc>
      </w:tr>
      <w:tr>
        <w:trPr/>
        <w:tc>
          <w:tcPr>
            <w:tcW w:w="93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H4</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Umbral operativo de Algoritmo A no alineado con la recomendación ISO</w:t>
            </w:r>
          </w:p>
        </w:tc>
        <w:tc>
          <w:tcPr>
            <w:tcW w:w="6085"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app.R</w:t>
            </w:r>
            <w:r>
              <w:rPr>
                <w:rFonts w:eastAsia="" w:cs=""/>
                <w:kern w:val="0"/>
                <w:sz w:val="24"/>
                <w:szCs w:val="24"/>
                <w:lang w:val="en-US" w:eastAsia="zh-CN" w:bidi="ar-SA"/>
              </w:rPr>
              <w:t xml:space="preserve"> restringe el uso del método a </w:t>
            </w:r>
            <w:r>
              <w:rPr>
                <w:rStyle w:val="VerbatimChar"/>
                <w:rFonts w:eastAsia="" w:cs=""/>
                <w:kern w:val="0"/>
                <w:szCs w:val="24"/>
                <w:lang w:val="en-US" w:eastAsia="zh-CN" w:bidi="ar-SA"/>
              </w:rPr>
              <w:t>n &gt;= 12</w:t>
            </w:r>
            <w:r>
              <w:rPr>
                <w:rFonts w:eastAsia="" w:cs=""/>
                <w:kern w:val="0"/>
                <w:sz w:val="24"/>
                <w:szCs w:val="24"/>
                <w:lang w:val="en-US" w:eastAsia="zh-CN" w:bidi="ar-SA"/>
              </w:rPr>
              <w:t xml:space="preserve"> participantes</w:t>
            </w:r>
          </w:p>
        </w:tc>
      </w:tr>
      <w:tr>
        <w:trPr/>
        <w:tc>
          <w:tcPr>
            <w:tcW w:w="93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H5</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Error de signo en la hoja de validación externa</w:t>
            </w:r>
          </w:p>
        </w:tc>
        <w:tc>
          <w:tcPr>
            <w:tcW w:w="608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Corregido en la evidencia de revisión</w:t>
            </w:r>
          </w:p>
        </w:tc>
      </w:tr>
      <w:tr>
        <w:trPr/>
        <w:tc>
          <w:tcPr>
            <w:tcW w:w="93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H6</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Error de rango en la hoja de estabilidad</w:t>
            </w:r>
          </w:p>
        </w:tc>
        <w:tc>
          <w:tcPr>
            <w:tcW w:w="608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Corregido en la evidencia de revisión</w:t>
            </w:r>
          </w:p>
        </w:tc>
      </w:tr>
      <w:tr>
        <w:trPr/>
        <w:tc>
          <w:tcPr>
            <w:tcW w:w="93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H7</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Ausencia de exportación clara de resultados para auditoría</w:t>
            </w:r>
          </w:p>
        </w:tc>
        <w:tc>
          <w:tcPr>
            <w:tcW w:w="6085"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app.R</w:t>
            </w:r>
            <w:r>
              <w:rPr>
                <w:rFonts w:eastAsia="" w:cs=""/>
                <w:kern w:val="0"/>
                <w:sz w:val="24"/>
                <w:szCs w:val="24"/>
                <w:lang w:val="en-US" w:eastAsia="zh-CN" w:bidi="ar-SA"/>
              </w:rPr>
              <w:t xml:space="preserve"> incorpora exportación CSV de puntajes y de intermedios del Algoritmo A</w:t>
            </w:r>
          </w:p>
        </w:tc>
      </w:tr>
      <w:tr>
        <w:trPr/>
        <w:tc>
          <w:tcPr>
            <w:tcW w:w="93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H8</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Carga de archivos sin diferenciación visual clara</w:t>
            </w:r>
          </w:p>
        </w:tc>
        <w:tc>
          <w:tcPr>
            <w:tcW w:w="6085"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app.R</w:t>
            </w:r>
            <w:r>
              <w:rPr>
                <w:rFonts w:eastAsia="" w:cs=""/>
                <w:kern w:val="0"/>
                <w:sz w:val="24"/>
                <w:szCs w:val="24"/>
                <w:lang w:val="en-US" w:eastAsia="zh-CN" w:bidi="ar-SA"/>
              </w:rPr>
              <w:t xml:space="preserve"> diferencia zonas con bordes azul, ámbar y verde</w:t>
            </w:r>
          </w:p>
        </w:tc>
      </w:tr>
      <w:tr>
        <w:trPr/>
        <w:tc>
          <w:tcPr>
            <w:tcW w:w="93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H9</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Cálculos intermedios ANOVA no visibles para revisión</w:t>
            </w:r>
          </w:p>
        </w:tc>
        <w:tc>
          <w:tcPr>
            <w:tcW w:w="6085"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app.R</w:t>
            </w:r>
            <w:r>
              <w:rPr>
                <w:rFonts w:eastAsia="" w:cs=""/>
                <w:kern w:val="0"/>
                <w:sz w:val="24"/>
                <w:szCs w:val="24"/>
                <w:lang w:val="en-US" w:eastAsia="zh-CN" w:bidi="ar-SA"/>
              </w:rPr>
              <w:t xml:space="preserve"> agrega tabla de cálculos intermedios en UI</w:t>
            </w:r>
          </w:p>
        </w:tc>
      </w:tr>
    </w:tbl>
    <w:p>
      <w:pPr>
        <w:pStyle w:val="BodyText"/>
        <w:rPr/>
      </w:pPr>
      <w:r>
        <w:rPr/>
        <w:t xml:space="preserve">La situación al 2026-03-13 es de </w:t>
      </w:r>
      <w:r>
        <w:rPr>
          <w:b/>
          <w:bCs/>
        </w:rPr>
        <w:t>cierre completo de los nueve hallazgos</w:t>
      </w:r>
      <w:r>
        <w:rPr/>
        <w:t>.</w:t>
      </w:r>
    </w:p>
    <w:p>
      <w:pPr>
        <w:pStyle w:val="Normal"/>
        <w:rPr/>
      </w:pPr>
      <w:bookmarkStart w:id="12" w:name="ciclo-de-revisión-y-hallazgos"/>
      <w:bookmarkStart w:id="13" w:name="tabla-consolidada-de-hallazgos-h1-h9"/>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bookmarkEnd w:id="13"/>
    </w:p>
    <w:p>
      <w:pPr>
        <w:pStyle w:val="Heading2"/>
        <w:rPr/>
      </w:pPr>
      <w:bookmarkStart w:id="14" w:name="X44a58c0c452f4954fddf50451223b2e9e6223db"/>
      <w:r>
        <w:rPr/>
        <w:t>3. Resultados de Tests y Evidencia Automatizada</w:t>
      </w:r>
    </w:p>
    <w:p>
      <w:pPr>
        <w:pStyle w:val="FirstParagraph"/>
        <w:rPr/>
      </w:pPr>
      <w:r>
        <w:rPr/>
        <w:t>La evidencia automatizada vigente se interpretó priorizando las pruebas que verifican directamente el comportamiento estadístico del aplicativo y su reproducibilidad. Adicionalmente, se revisaron pruebas complementarias de apoyo documental y consistencia general del repositorio.</w:t>
      </w:r>
    </w:p>
    <w:p>
      <w:pPr>
        <w:pStyle w:val="Heading3"/>
        <w:rPr/>
      </w:pPr>
      <w:r>
        <w:rPr/>
        <w:t>3.1 Pruebas focalizadas vigentes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139"/>
        <w:gridCol w:w="2942"/>
        <w:gridCol w:w="4279"/>
      </w:tblGrid>
      <w:tr>
        <w:trPr>
          <w:tblHeader w:val="true"/>
        </w:trPr>
        <w:tc>
          <w:tcPr>
            <w:tcW w:w="213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Prueba</w:t>
            </w:r>
          </w:p>
        </w:tc>
        <w:tc>
          <w:tcPr>
            <w:tcW w:w="294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Resultado</w:t>
            </w:r>
          </w:p>
        </w:tc>
        <w:tc>
          <w:tcPr>
            <w:tcW w:w="427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Interpretación</w:t>
            </w:r>
          </w:p>
        </w:tc>
      </w:tr>
      <w:tr>
        <w:trPr/>
        <w:tc>
          <w:tcPr>
            <w:tcW w:w="21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tests/testthat/test-algorithm-a.R</w:t>
            </w:r>
          </w:p>
        </w:tc>
        <w:tc>
          <w:tcPr>
            <w:tcW w:w="294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Validación satisfactoria</w:t>
            </w:r>
          </w:p>
        </w:tc>
        <w:tc>
          <w:tcPr>
            <w:tcW w:w="427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La implementación del Algoritmo A se comporta correctamente en casos normales, outliers, NA, estructura e iteraciones</w:t>
            </w:r>
          </w:p>
        </w:tc>
      </w:tr>
      <w:tr>
        <w:trPr/>
        <w:tc>
          <w:tcPr>
            <w:tcW w:w="21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deliv/09_informe_final/tests/test_09_reproducibilidad.R</w:t>
            </w:r>
          </w:p>
        </w:tc>
        <w:tc>
          <w:tcPr>
            <w:tcW w:w="294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Validación satisfactoria</w:t>
            </w:r>
          </w:p>
        </w:tc>
        <w:tc>
          <w:tcPr>
            <w:tcW w:w="427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La reproducibilidad funcional del entregable 09 es satisfactoria</w:t>
            </w:r>
            <w:bookmarkStart w:id="15" w:name="pruebas-focalizadas-vigentes"/>
            <w:bookmarkEnd w:id="15"/>
          </w:p>
        </w:tc>
      </w:tr>
    </w:tbl>
    <w:p>
      <w:pPr>
        <w:pStyle w:val="Heading3"/>
        <w:rPr/>
      </w:pPr>
      <w:r>
        <w:rPr/>
      </w:r>
      <w:bookmarkStart w:id="16" w:name="interpretación-por-entregable"/>
      <w:bookmarkStart w:id="17" w:name="interpretación-por-entregable"/>
    </w:p>
    <w:p>
      <w:pPr>
        <w:pStyle w:val="Normal"/>
        <w:rPr/>
      </w:pPr>
      <w:bookmarkStart w:id="18" w:name="X44a58c0c452f4954fddf50451223b2e9e6223db"/>
      <w:bookmarkStart w:id="19" w:name="interpretación-por-entregable"/>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bookmarkEnd w:id="19"/>
    </w:p>
    <w:p>
      <w:pPr>
        <w:pStyle w:val="Heading2"/>
        <w:rPr/>
      </w:pPr>
      <w:bookmarkStart w:id="20" w:name="conformidad-con-iso-135282022"/>
      <w:r>
        <w:rPr/>
        <w:t>4. Conformidad con ISO 13528:2022</w:t>
      </w:r>
    </w:p>
    <w:p>
      <w:pPr>
        <w:pStyle w:val="Heading3"/>
        <w:rPr/>
      </w:pPr>
      <w:r>
        <w:rPr/>
        <w:t>4.1 Homogeneidad</w:t>
      </w:r>
    </w:p>
    <w:p>
      <w:pPr>
        <w:pStyle w:val="FirstParagraph"/>
        <w:rPr/>
      </w:pPr>
      <w:r>
        <w:rPr/>
        <w:t xml:space="preserve">La revisión externa y la inspección del código confirman que la evaluación de homogeneidad implementa la estructura ANOVA prevista por la norma y corrige el punto crítico de la fórmula B.10. La lógica vigente en </w:t>
      </w:r>
      <w:r>
        <w:rPr>
          <w:rStyle w:val="VerbatimChar"/>
        </w:rPr>
        <w:t>R/pt_homogeneity.R</w:t>
      </w:r>
      <w:r>
        <w:rPr/>
        <w:t xml:space="preserve"> establece que, cuando </w:t>
      </w:r>
      <w:r>
        <w:rPr>
          <w:rStyle w:val="VerbatimChar"/>
        </w:rPr>
        <w:t>ss_sq &lt; 0</w:t>
      </w:r>
      <w:r>
        <w:rPr/>
        <w:t xml:space="preserve">, el valor de </w:t>
      </w:r>
      <w:r>
        <w:rPr>
          <w:rStyle w:val="VerbatimChar"/>
        </w:rPr>
        <w:t>ss</w:t>
      </w:r>
      <w:r>
        <w:rPr/>
        <w:t xml:space="preserve"> debe fijarse en cero en lugar de forzar una raíz cuadrada inválida.</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Requisito</w:t>
            </w:r>
          </w:p>
        </w:tc>
        <w:tc>
          <w:tcPr>
            <w:tcW w:w="468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Evidencia</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Cálculo de </w:t>
            </w:r>
            <w:r>
              <w:rPr>
                <w:rStyle w:val="VerbatimChar"/>
                <w:rFonts w:eastAsia="" w:cs=""/>
                <w:kern w:val="0"/>
                <w:szCs w:val="24"/>
                <w:lang w:val="en-US" w:eastAsia="zh-CN" w:bidi="ar-SA"/>
              </w:rPr>
              <w:t>sw</w:t>
            </w:r>
            <w:r>
              <w:rPr>
                <w:rFonts w:eastAsia="" w:cs=""/>
                <w:kern w:val="0"/>
                <w:sz w:val="24"/>
                <w:szCs w:val="24"/>
                <w:lang w:val="en-US" w:eastAsia="zh-CN" w:bidi="ar-SA"/>
              </w:rPr>
              <w:t xml:space="preserve">, </w:t>
            </w:r>
            <w:r>
              <w:rPr>
                <w:rStyle w:val="VerbatimChar"/>
                <w:rFonts w:eastAsia="" w:cs=""/>
                <w:kern w:val="0"/>
                <w:szCs w:val="24"/>
                <w:lang w:val="en-US" w:eastAsia="zh-CN" w:bidi="ar-SA"/>
              </w:rPr>
              <w:t>ss_sq</w:t>
            </w:r>
            <w:r>
              <w:rPr>
                <w:rFonts w:eastAsia="" w:cs=""/>
                <w:kern w:val="0"/>
                <w:sz w:val="24"/>
                <w:szCs w:val="24"/>
                <w:lang w:val="en-US" w:eastAsia="zh-CN" w:bidi="ar-SA"/>
              </w:rPr>
              <w:t xml:space="preserve"> y </w:t>
            </w:r>
            <w:r>
              <w:rPr>
                <w:rStyle w:val="VerbatimChar"/>
                <w:rFonts w:eastAsia="" w:cs=""/>
                <w:kern w:val="0"/>
                <w:szCs w:val="24"/>
                <w:lang w:val="en-US" w:eastAsia="zh-CN" w:bidi="ar-SA"/>
              </w:rPr>
              <w:t>ss</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Implementado en </w:t>
            </w:r>
            <w:r>
              <w:rPr>
                <w:rStyle w:val="VerbatimChar"/>
                <w:rFonts w:eastAsia="" w:cs=""/>
                <w:kern w:val="0"/>
                <w:szCs w:val="24"/>
                <w:lang w:val="en-US" w:eastAsia="zh-CN" w:bidi="ar-SA"/>
              </w:rPr>
              <w:t>R/pt_homogeneity.R</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Criterio </w:t>
            </w:r>
            <w:r>
              <w:rPr>
                <w:rStyle w:val="VerbatimChar"/>
                <w:rFonts w:eastAsia="" w:cs=""/>
                <w:kern w:val="0"/>
                <w:szCs w:val="24"/>
                <w:lang w:val="en-US" w:eastAsia="zh-CN" w:bidi="ar-SA"/>
              </w:rPr>
              <w:t>c = 0.3 * sigma_pt</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Implementado en </w:t>
            </w:r>
            <w:r>
              <w:rPr>
                <w:rStyle w:val="VerbatimChar"/>
                <w:rFonts w:eastAsia="" w:cs=""/>
                <w:kern w:val="0"/>
                <w:szCs w:val="24"/>
                <w:lang w:val="en-US" w:eastAsia="zh-CN" w:bidi="ar-SA"/>
              </w:rPr>
              <w:t>calculate_homogeneity_criterion()</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Tabla de intermedios para auditoría</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Visible en </w:t>
            </w:r>
            <w:r>
              <w:rPr>
                <w:rStyle w:val="VerbatimChar"/>
                <w:rFonts w:eastAsia="" w:cs=""/>
                <w:kern w:val="0"/>
                <w:szCs w:val="24"/>
                <w:lang w:val="en-US" w:eastAsia="zh-CN" w:bidi="ar-SA"/>
              </w:rPr>
              <w:t>app.R</w:t>
            </w:r>
            <w:r>
              <w:rPr>
                <w:rFonts w:eastAsia="" w:cs=""/>
                <w:kern w:val="0"/>
                <w:sz w:val="24"/>
                <w:szCs w:val="24"/>
                <w:lang w:val="en-US" w:eastAsia="zh-CN" w:bidi="ar-SA"/>
              </w:rPr>
              <w:t xml:space="preserve"> tras H9</w:t>
            </w:r>
            <w:bookmarkStart w:id="21" w:name="homogeneidad"/>
            <w:bookmarkEnd w:id="21"/>
          </w:p>
        </w:tc>
      </w:tr>
    </w:tbl>
    <w:p>
      <w:pPr>
        <w:pStyle w:val="Heading3"/>
        <w:rPr/>
      </w:pPr>
      <w:r>
        <w:rPr/>
        <w:t>4.2 Estabilidad</w:t>
      </w:r>
    </w:p>
    <w:p>
      <w:pPr>
        <w:pStyle w:val="FirstParagraph"/>
        <w:rPr/>
      </w:pPr>
      <w:r>
        <w:rPr/>
        <w:t xml:space="preserve">La validación de estabilidad conserva el mismo patrón de cálculo y los errores detectados durante la revisión 1 estuvieron en la hoja de verificación externa, no en la lógica actual del aplicativo. El criterio de estabilidad sigue siendo coherente con el uso de </w:t>
      </w:r>
      <w:r>
        <w:rPr>
          <w:rStyle w:val="VerbatimChar"/>
        </w:rPr>
        <w:t>0.3 * sigma_pt</w:t>
      </w:r>
      <w:r>
        <w:rPr/>
        <w:t xml:space="preserve"> y con la incorporación de </w:t>
      </w:r>
      <w:r>
        <w:rPr>
          <w:rStyle w:val="VerbatimChar"/>
        </w:rPr>
        <w:t>u_stab</w:t>
      </w:r>
      <w:r>
        <w:rPr/>
        <w:t xml:space="preserve"> cuando la diferencia entre medias lo requiere.</w:t>
      </w:r>
    </w:p>
    <w:p>
      <w:pPr>
        <w:pStyle w:val="Heading3"/>
        <w:rPr/>
      </w:pPr>
      <w:bookmarkStart w:id="22" w:name="estadísticos-robustos"/>
      <w:r>
        <w:rPr/>
        <w:t>4.3 Estadísticos robustos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581"/>
        <w:gridCol w:w="2582"/>
        <w:gridCol w:w="4197"/>
      </w:tblGrid>
      <w:tr>
        <w:trPr>
          <w:tblHeader w:val="true"/>
        </w:trPr>
        <w:tc>
          <w:tcPr>
            <w:tcW w:w="258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Método</w:t>
            </w:r>
          </w:p>
        </w:tc>
        <w:tc>
          <w:tcPr>
            <w:tcW w:w="258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Estado</w:t>
            </w:r>
          </w:p>
        </w:tc>
        <w:tc>
          <w:tcPr>
            <w:tcW w:w="4197"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Observación</w:t>
            </w:r>
          </w:p>
        </w:tc>
      </w:tr>
      <w:tr>
        <w:trPr/>
        <w:tc>
          <w:tcPr>
            <w:tcW w:w="25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nIQR</w:t>
            </w:r>
          </w:p>
        </w:tc>
        <w:tc>
          <w:tcPr>
            <w:tcW w:w="258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Conforme</w:t>
            </w:r>
          </w:p>
        </w:tc>
        <w:tc>
          <w:tcPr>
            <w:tcW w:w="4197"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Sin discrepancias activas</w:t>
            </w:r>
          </w:p>
        </w:tc>
      </w:tr>
      <w:tr>
        <w:trPr/>
        <w:tc>
          <w:tcPr>
            <w:tcW w:w="25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MADe</w:t>
            </w:r>
          </w:p>
        </w:tc>
        <w:tc>
          <w:tcPr>
            <w:tcW w:w="258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Conforme</w:t>
            </w:r>
          </w:p>
        </w:tc>
        <w:tc>
          <w:tcPr>
            <w:tcW w:w="4197"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Separado explícitamente entre homogeneidad y participantes</w:t>
            </w:r>
          </w:p>
        </w:tc>
      </w:tr>
      <w:tr>
        <w:trPr/>
        <w:tc>
          <w:tcPr>
            <w:tcW w:w="25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Algoritmo A</w:t>
            </w:r>
          </w:p>
        </w:tc>
        <w:tc>
          <w:tcPr>
            <w:tcW w:w="258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Conforme</w:t>
            </w:r>
          </w:p>
        </w:tc>
        <w:tc>
          <w:tcPr>
            <w:tcW w:w="4197"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Restringido operativamente a </w:t>
            </w:r>
            <w:r>
              <w:rPr>
                <w:rStyle w:val="VerbatimChar"/>
                <w:rFonts w:eastAsia="" w:cs=""/>
                <w:kern w:val="0"/>
                <w:szCs w:val="24"/>
                <w:lang w:val="en-US" w:eastAsia="zh-CN" w:bidi="ar-SA"/>
              </w:rPr>
              <w:t>n &gt;= 12</w:t>
            </w:r>
            <w:r>
              <w:rPr>
                <w:rFonts w:eastAsia="" w:cs=""/>
                <w:kern w:val="0"/>
                <w:sz w:val="24"/>
                <w:szCs w:val="24"/>
                <w:lang w:val="en-US" w:eastAsia="zh-CN" w:bidi="ar-SA"/>
              </w:rPr>
              <w:t xml:space="preserve"> en la app</w:t>
            </w:r>
          </w:p>
        </w:tc>
      </w:tr>
    </w:tbl>
    <w:p>
      <w:pPr>
        <w:pStyle w:val="BodyText"/>
        <w:rPr/>
      </w:pPr>
      <w:bookmarkStart w:id="23" w:name="estadísticos-robustos"/>
      <w:r>
        <w:rPr/>
        <w:t>El cambio H4 es importante desde el punto de vista normativo: evita que el usuario aplique Algoritmo A en condiciones donde la recomendación de la norma no lo respalda operativamente dentro del aplicativo.</w:t>
      </w:r>
      <w:bookmarkEnd w:id="23"/>
    </w:p>
    <w:p>
      <w:pPr>
        <w:pStyle w:val="Heading3"/>
        <w:rPr/>
      </w:pPr>
      <w:bookmarkStart w:id="24" w:name="puntajes-de-desempeño"/>
      <w:r>
        <w:rPr/>
        <w:t>4.4 Puntajes de desempeño</w:t>
      </w:r>
    </w:p>
    <w:p>
      <w:pPr>
        <w:pStyle w:val="FirstParagraph"/>
        <w:rPr/>
      </w:pPr>
      <w:r>
        <w:rPr/>
        <w:t xml:space="preserve">Las fórmulas para </w:t>
      </w:r>
      <w:r>
        <w:rPr>
          <w:rStyle w:val="VerbatimChar"/>
        </w:rPr>
        <w:t>z</w:t>
      </w:r>
      <w:r>
        <w:rPr/>
        <w:t xml:space="preserve">, </w:t>
      </w:r>
      <w:r>
        <w:rPr>
          <w:rStyle w:val="VerbatimChar"/>
        </w:rPr>
        <w:t>z'</w:t>
      </w:r>
      <w:r>
        <w:rPr/>
        <w:t xml:space="preserve">, </w:t>
      </w:r>
      <w:r>
        <w:rPr>
          <w:rStyle w:val="VerbatimChar"/>
        </w:rPr>
        <w:t>zeta</w:t>
      </w:r>
      <w:r>
        <w:rPr/>
        <w:t xml:space="preserve"> y </w:t>
      </w:r>
      <w:r>
        <w:rPr>
          <w:rStyle w:val="VerbatimChar"/>
        </w:rPr>
        <w:t>En</w:t>
      </w:r>
      <w:r>
        <w:rPr/>
        <w:t xml:space="preserve"> siguen alineadas con la estructura de incertidumbres combinadas y se mantienen reproducibles según la prueba del entregable 09. No se identificaron discrepancias nuevas en estas funciones durante los ciclos de revisión 2026.</w:t>
      </w:r>
    </w:p>
    <w:p>
      <w:pPr>
        <w:pStyle w:val="Normal"/>
        <w:rPr/>
      </w:pPr>
      <w:bookmarkStart w:id="25" w:name="conformidad-con-iso-135282022"/>
      <w:bookmarkStart w:id="26" w:name="puntajes-de-desempeño"/>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p>
    <w:p>
      <w:pPr>
        <w:pStyle w:val="Heading2"/>
        <w:rPr/>
      </w:pPr>
      <w:bookmarkStart w:id="27" w:name="conformidad-con-iso-170432024"/>
      <w:r>
        <w:rPr/>
        <w:t>5. Conformidad con ISO 17043:202</w:t>
      </w:r>
      <w:r>
        <w:rPr/>
        <w:t>3</w:t>
      </w:r>
    </w:p>
    <w:p>
      <w:pPr>
        <w:pStyle w:val="FirstParagraph"/>
        <w:rPr/>
      </w:pPr>
      <w:r>
        <w:rPr/>
        <w:t>La conformidad evaluada frente a ISO 17043:202</w:t>
      </w:r>
      <w:r>
        <w:rPr/>
        <w:t>3</w:t>
      </w:r>
      <w:r>
        <w:rPr/>
        <w:t xml:space="preserve"> no se limita a “tener fórmulas correctas”. En este informe se revisó además la capacidad del aplicativo para sostener una evaluación auditable de ensayos de aptitud.</w:t>
      </w:r>
    </w:p>
    <w:p>
      <w:pPr>
        <w:pStyle w:val="Heading3"/>
        <w:rPr/>
      </w:pPr>
      <w:r>
        <w:rPr/>
        <w:t>5.1 Preparación y evaluación de ítems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5040"/>
        <w:gridCol w:w="4320"/>
      </w:tblGrid>
      <w:tr>
        <w:trPr>
          <w:tblHeader w:val="true"/>
        </w:trPr>
        <w:tc>
          <w:tcPr>
            <w:tcW w:w="50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Requisito operativo</w:t>
            </w:r>
          </w:p>
        </w:tc>
        <w:tc>
          <w:tcPr>
            <w:tcW w:w="43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Evidencia actual</w:t>
            </w:r>
          </w:p>
        </w:tc>
      </w:tr>
      <w:tr>
        <w:trPr/>
        <w:tc>
          <w:tcPr>
            <w:tcW w:w="50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Evaluación de homogeneidad</w:t>
            </w:r>
          </w:p>
        </w:tc>
        <w:tc>
          <w:tcPr>
            <w:tcW w:w="43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Implementada y trazable</w:t>
            </w:r>
          </w:p>
        </w:tc>
      </w:tr>
      <w:tr>
        <w:trPr/>
        <w:tc>
          <w:tcPr>
            <w:tcW w:w="50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Evaluación de estabilidad</w:t>
            </w:r>
          </w:p>
        </w:tc>
        <w:tc>
          <w:tcPr>
            <w:tcW w:w="43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Implementada y trazable</w:t>
            </w:r>
          </w:p>
        </w:tc>
      </w:tr>
      <w:tr>
        <w:trPr/>
        <w:tc>
          <w:tcPr>
            <w:tcW w:w="50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Determinación de valores asignados</w:t>
            </w:r>
          </w:p>
        </w:tc>
        <w:tc>
          <w:tcPr>
            <w:tcW w:w="43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Disponible por referencia, MADe, nIQR y Algoritmo A</w:t>
            </w:r>
          </w:p>
        </w:tc>
      </w:tr>
      <w:tr>
        <w:trPr/>
        <w:tc>
          <w:tcPr>
            <w:tcW w:w="50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Evaluación de desempeño de participantes</w:t>
            </w:r>
          </w:p>
        </w:tc>
        <w:tc>
          <w:tcPr>
            <w:tcW w:w="43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Puntajes z, z’, zeta y En disponibles</w:t>
            </w:r>
            <w:bookmarkStart w:id="28" w:name="preparación-y-evaluación-de-ítems"/>
            <w:bookmarkEnd w:id="28"/>
          </w:p>
        </w:tc>
      </w:tr>
    </w:tbl>
    <w:p>
      <w:pPr>
        <w:pStyle w:val="Heading3"/>
        <w:rPr/>
      </w:pPr>
      <w:r>
        <w:rPr/>
        <w:t>5.2 Trazabilidad y auditabilidad</w:t>
      </w:r>
    </w:p>
    <w:p>
      <w:pPr>
        <w:pStyle w:val="FirstParagraph"/>
        <w:rPr/>
      </w:pPr>
      <w:r>
        <w:rPr/>
        <w:t>Las mejoras H3, H7, H8 y H9 refuerzan directamente la alineación con ISO 17043:</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268"/>
        <w:gridCol w:w="7092"/>
      </w:tblGrid>
      <w:tr>
        <w:trPr>
          <w:tblHeader w:val="true"/>
        </w:trPr>
        <w:tc>
          <w:tcPr>
            <w:tcW w:w="2268"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Mejora</w:t>
            </w:r>
          </w:p>
        </w:tc>
        <w:tc>
          <w:tcPr>
            <w:tcW w:w="709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Aporte a la conformidad</w:t>
            </w:r>
          </w:p>
        </w:tc>
      </w:tr>
      <w:tr>
        <w:trPr/>
        <w:tc>
          <w:tcPr>
            <w:tcW w:w="2268"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run_metadata</w:t>
            </w:r>
          </w:p>
        </w:tc>
        <w:tc>
          <w:tcPr>
            <w:tcW w:w="709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Registra contexto de ejecución y fortalece trazabilidad</w:t>
            </w:r>
          </w:p>
        </w:tc>
      </w:tr>
      <w:tr>
        <w:trPr/>
        <w:tc>
          <w:tcPr>
            <w:tcW w:w="226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Exportación CSV</w:t>
            </w:r>
          </w:p>
        </w:tc>
        <w:tc>
          <w:tcPr>
            <w:tcW w:w="709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Permite revisión independiente de resultados</w:t>
            </w:r>
          </w:p>
        </w:tc>
      </w:tr>
      <w:tr>
        <w:trPr/>
        <w:tc>
          <w:tcPr>
            <w:tcW w:w="226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Diferenciación visual de cargas</w:t>
            </w:r>
          </w:p>
        </w:tc>
        <w:tc>
          <w:tcPr>
            <w:tcW w:w="709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Reduce riesgo operativo en selección de archivos</w:t>
            </w:r>
          </w:p>
        </w:tc>
      </w:tr>
      <w:tr>
        <w:trPr/>
        <w:tc>
          <w:tcPr>
            <w:tcW w:w="226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Tabla de intermedios ANOVA</w:t>
            </w:r>
          </w:p>
        </w:tc>
        <w:tc>
          <w:tcPr>
            <w:tcW w:w="709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Hace verificable el razonamiento estadístico</w:t>
            </w:r>
          </w:p>
        </w:tc>
      </w:tr>
    </w:tbl>
    <w:p>
      <w:pPr>
        <w:pStyle w:val="BodyText"/>
        <w:rPr/>
      </w:pPr>
      <w:r>
        <w:rPr/>
        <w:t>La principal oportunidad de mejora restante está en la capa de documentación de apoyo del repositorio, no en el flujo operativo principal de la aplicación.</w:t>
      </w:r>
    </w:p>
    <w:p>
      <w:pPr>
        <w:pStyle w:val="Normal"/>
        <w:rPr/>
      </w:pPr>
      <w:bookmarkStart w:id="29" w:name="conformidad-con-iso-170432024"/>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p>
    <w:p>
      <w:pPr>
        <w:pStyle w:val="Heading2"/>
        <w:rPr/>
      </w:pPr>
      <w:bookmarkStart w:id="30" w:name="validación-cruzada-del-algoritmo-a"/>
      <w:r>
        <w:rPr/>
        <w:t>6. Validación Cruzada del Algoritmo A</w:t>
      </w:r>
    </w:p>
    <w:p>
      <w:pPr>
        <w:pStyle w:val="FirstParagraph"/>
        <w:rPr/>
      </w:pPr>
      <w:r>
        <w:rPr/>
        <w:t>La validación cruzada del Algoritmo A constituye la principal adición técnica de esta versión 2.0. El objetivo fue verificar el comportamiento del algoritmo no solo en pruebas unitarias, sino frente a fuentes independientes y a nivel iteración por iteración.</w:t>
      </w:r>
    </w:p>
    <w:p>
      <w:pPr>
        <w:pStyle w:val="Heading3"/>
        <w:rPr/>
      </w:pPr>
      <w:r>
        <w:rPr/>
        <w:t>6.1 Configuración</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Parámetro</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Valor</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Tolerancia de convergencia</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1e-04</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Máximo de iteraciones R</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50</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Máximo de iteraciones VIVO equivalente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Dataset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data/summary_n13.csv</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Participantes efectivos</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12</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Combinaciones evaluadas</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w:t>
            </w:r>
            <w:bookmarkStart w:id="31" w:name="configuración"/>
            <w:bookmarkEnd w:id="31"/>
          </w:p>
        </w:tc>
      </w:tr>
    </w:tbl>
    <w:p>
      <w:pPr>
        <w:pStyle w:val="Heading3"/>
        <w:rPr/>
      </w:pPr>
      <w:r>
        <w:rPr/>
        <w:t>6.2 Resultado global</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5070"/>
        <w:gridCol w:w="4290"/>
      </w:tblGrid>
      <w:tr>
        <w:trPr>
          <w:tblHeader w:val="true"/>
        </w:trPr>
        <w:tc>
          <w:tcPr>
            <w:tcW w:w="507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Comparación</w:t>
            </w:r>
          </w:p>
        </w:tc>
        <w:tc>
          <w:tcPr>
            <w:tcW w:w="429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Resultado</w:t>
            </w:r>
          </w:p>
        </w:tc>
      </w:tr>
      <w:tr>
        <w:trPr/>
        <w:tc>
          <w:tcPr>
            <w:tcW w:w="507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 vs Excel de validación</w:t>
            </w:r>
          </w:p>
        </w:tc>
        <w:tc>
          <w:tcPr>
            <w:tcW w:w="429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10/10 PASS</w:t>
            </w:r>
          </w:p>
        </w:tc>
      </w:tr>
      <w:tr>
        <w:trPr/>
        <w:tc>
          <w:tcPr>
            <w:tcW w:w="507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 vs VIVO equivalente</w:t>
            </w:r>
          </w:p>
        </w:tc>
        <w:tc>
          <w:tcPr>
            <w:tcW w:w="429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10/10 PASS en iteraciones comunes</w:t>
            </w:r>
          </w:p>
        </w:tc>
      </w:tr>
      <w:tr>
        <w:trPr/>
        <w:tc>
          <w:tcPr>
            <w:tcW w:w="507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Diferencia máxima esperada por redondeo en R vs Excel</w:t>
            </w:r>
          </w:p>
        </w:tc>
        <w:tc>
          <w:tcPr>
            <w:tcW w:w="429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Orden </w:t>
            </w:r>
            <w:r>
              <w:rPr>
                <w:rStyle w:val="VerbatimChar"/>
                <w:rFonts w:eastAsia="" w:cs=""/>
                <w:kern w:val="0"/>
                <w:szCs w:val="24"/>
                <w:lang w:val="en-US" w:eastAsia="zh-CN" w:bidi="ar-SA"/>
              </w:rPr>
              <w:t>1e-20</w:t>
            </w:r>
            <w:r>
              <w:rPr>
                <w:rFonts w:eastAsia="" w:cs=""/>
                <w:kern w:val="0"/>
                <w:sz w:val="24"/>
                <w:szCs w:val="24"/>
                <w:lang w:val="en-US" w:eastAsia="zh-CN" w:bidi="ar-SA"/>
              </w:rPr>
              <w:t xml:space="preserve"> a </w:t>
            </w:r>
            <w:r>
              <w:rPr>
                <w:rStyle w:val="VerbatimChar"/>
                <w:rFonts w:eastAsia="" w:cs=""/>
                <w:kern w:val="0"/>
                <w:szCs w:val="24"/>
                <w:lang w:val="en-US" w:eastAsia="zh-CN" w:bidi="ar-SA"/>
              </w:rPr>
              <w:t>1e-13</w:t>
            </w:r>
          </w:p>
        </w:tc>
      </w:tr>
    </w:tbl>
    <w:p>
      <w:pPr>
        <w:pStyle w:val="Heading3"/>
        <w:rPr/>
      </w:pPr>
      <w:r>
        <w:rPr/>
        <w:t>6.3 Caso especial O3 a 180 nmol/mol</w:t>
      </w:r>
    </w:p>
    <w:p>
      <w:pPr>
        <w:pStyle w:val="FirstParagraph"/>
        <w:rPr/>
      </w:pPr>
      <w:r>
        <w:rPr/>
        <w:t>La combinación O3 a 180 nmol/mol requiere 18 iteraciones para converger con la tolerancia usada por la aplicación. El VIVO equivalente corta en 10 iteraciones, por lo que las iteraciones comunes coinciden exactamente, pero el valor final convergido en R difiere ligeramente del valor truncado por el límite de VIVO.</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123"/>
        <w:gridCol w:w="2808"/>
        <w:gridCol w:w="3369"/>
        <w:gridCol w:w="2060"/>
      </w:tblGrid>
      <w:tr>
        <w:trPr>
          <w:tblHeader w:val="true"/>
        </w:trPr>
        <w:tc>
          <w:tcPr>
            <w:tcW w:w="1123"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Caso</w:t>
            </w:r>
          </w:p>
        </w:tc>
        <w:tc>
          <w:tcPr>
            <w:tcW w:w="2808"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Iteraciones R</w:t>
            </w:r>
          </w:p>
        </w:tc>
        <w:tc>
          <w:tcPr>
            <w:tcW w:w="336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Iteraciones VIVO</w:t>
            </w:r>
          </w:p>
        </w:tc>
        <w:tc>
          <w:tcPr>
            <w:tcW w:w="20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Resultado</w:t>
            </w:r>
          </w:p>
        </w:tc>
      </w:tr>
      <w:tr>
        <w:trPr/>
        <w:tc>
          <w:tcPr>
            <w:tcW w:w="112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O3 / 180 nmol/mol</w:t>
            </w:r>
          </w:p>
        </w:tc>
        <w:tc>
          <w:tcPr>
            <w:tcW w:w="280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18</w:t>
            </w:r>
          </w:p>
        </w:tc>
        <w:tc>
          <w:tcPr>
            <w:tcW w:w="336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w:t>
            </w:r>
          </w:p>
        </w:tc>
        <w:tc>
          <w:tcPr>
            <w:tcW w:w="20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PASS en iteraciones comunes; diferencia final atribuible al cap de iteraciones</w:t>
            </w:r>
          </w:p>
        </w:tc>
      </w:tr>
    </w:tbl>
    <w:p>
      <w:pPr>
        <w:pStyle w:val="BodyText"/>
        <w:rPr/>
      </w:pPr>
      <w:r>
        <w:rPr/>
        <w:t xml:space="preserve">La diferencia relativa final en </w:t>
      </w:r>
      <w:r>
        <w:rPr>
          <w:rStyle w:val="VerbatimChar"/>
        </w:rPr>
        <w:t>s*</w:t>
      </w:r>
      <w:r>
        <w:rPr/>
        <w:t xml:space="preserve"> es cercana a 0.8 %, y se interpreta como una limitación del instrumento comparador, no como un error del algoritmo en R.</w:t>
      </w:r>
    </w:p>
    <w:p>
      <w:pPr>
        <w:pStyle w:val="Heading3"/>
        <w:rPr/>
      </w:pPr>
      <w:bookmarkStart w:id="32" w:name="conclusión-de-la-validación-cruzada"/>
      <w:r>
        <w:rPr/>
        <w:t>6.4 Conclusión de la validación cruzada</w:t>
      </w:r>
    </w:p>
    <w:p>
      <w:pPr>
        <w:pStyle w:val="FirstParagraph"/>
        <w:rPr/>
      </w:pPr>
      <w:r>
        <w:rPr/>
        <w:t xml:space="preserve">La implementación de </w:t>
      </w:r>
      <w:r>
        <w:rPr>
          <w:rStyle w:val="VerbatimChar"/>
        </w:rPr>
        <w:t>run_algorithm_a()</w:t>
      </w:r>
      <w:r>
        <w:rPr/>
        <w:t xml:space="preserve"> es consistente, determinista y numéricamente estable para el conjunto de validación utilizado.</w:t>
      </w:r>
    </w:p>
    <w:p>
      <w:pPr>
        <w:pStyle w:val="Normal"/>
        <w:rPr/>
      </w:pPr>
      <w:bookmarkStart w:id="33" w:name="validación-cruzada-del-algoritmo-a"/>
      <w:bookmarkStart w:id="34" w:name="conclusión-de-la-validación-cruzada"/>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
      <w:bookmarkEnd w:id="34"/>
    </w:p>
    <w:p>
      <w:pPr>
        <w:pStyle w:val="Heading2"/>
        <w:rPr/>
      </w:pPr>
      <w:bookmarkStart w:id="35" w:name="validación-de-scorespuntuaciones"/>
      <w:r>
        <w:rPr/>
        <w:t>7. Validación de scores/puntuaciones</w:t>
      </w:r>
    </w:p>
    <w:p>
      <w:pPr>
        <w:pStyle w:val="FirstParagraph"/>
        <w:rPr/>
      </w:pPr>
      <w:r>
        <w:rPr/>
        <w:t xml:space="preserve">Esta sección queda reservada como placeholder para documentar la validación externa específica de los puntajes </w:t>
      </w:r>
      <w:r>
        <w:rPr>
          <w:rStyle w:val="VerbatimChar"/>
        </w:rPr>
        <w:t>z</w:t>
      </w:r>
      <w:r>
        <w:rPr/>
        <w:t xml:space="preserve">, </w:t>
      </w:r>
      <w:r>
        <w:rPr>
          <w:rStyle w:val="VerbatimChar"/>
        </w:rPr>
        <w:t>z'</w:t>
      </w:r>
      <w:r>
        <w:rPr/>
        <w:t xml:space="preserve">, </w:t>
      </w:r>
      <w:r>
        <w:rPr>
          <w:rStyle w:val="VerbatimChar"/>
        </w:rPr>
        <w:t>zeta</w:t>
      </w:r>
      <w:r>
        <w:rPr/>
        <w:t xml:space="preserve"> y </w:t>
      </w:r>
      <w:r>
        <w:rPr>
          <w:rStyle w:val="VerbatimChar"/>
        </w:rPr>
        <w:t>En</w:t>
      </w:r>
      <w:r>
        <w:rPr/>
        <w:t>.</w:t>
      </w:r>
    </w:p>
    <w:p>
      <w:pPr>
        <w:pStyle w:val="BodyText"/>
        <w:rPr/>
      </w:pPr>
      <w:r>
        <w:rPr>
          <w:b/>
          <w:bCs/>
        </w:rPr>
        <w:t>Estado actual:</w:t>
      </w:r>
      <w:r>
        <w:rPr/>
        <w:t xml:space="preserve"> pendiente.</w:t>
      </w:r>
    </w:p>
    <w:p>
      <w:pPr>
        <w:pStyle w:val="BodyText"/>
        <w:rPr/>
      </w:pPr>
      <w:r>
        <w:rPr>
          <w:b/>
          <w:bCs/>
        </w:rPr>
        <w:t>Contenido esperado en actualización futura:</w:t>
      </w:r>
    </w:p>
    <w:p>
      <w:pPr>
        <w:pStyle w:val="BodyText"/>
        <w:rPr/>
      </w:pPr>
      <w:r>
        <w:rPr/>
        <w:t>Validación comparativa con César, criterios de aceptación, tablas de contraste, casos revisados y conclusiones de cierre.</w:t>
      </w:r>
    </w:p>
    <w:p>
      <w:pPr>
        <w:pStyle w:val="Normal"/>
        <w:rPr/>
      </w:pPr>
      <w:bookmarkStart w:id="36" w:name="validación-de-scorespuntuaciones"/>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p>
    <w:p>
      <w:pPr>
        <w:pStyle w:val="Heading2"/>
        <w:rPr/>
      </w:pPr>
      <w:bookmarkStart w:id="37" w:name="X04cc1528a0002d492cf2735305ad64f4e8c5d64"/>
      <w:r>
        <w:rPr/>
        <w:t>8. Análisis de Desviaciones y Riesgos Residuales</w:t>
      </w:r>
    </w:p>
    <w:p>
      <w:pPr>
        <w:pStyle w:val="Heading3"/>
        <w:rPr/>
      </w:pPr>
      <w:bookmarkStart w:id="38" w:name="desviaciones-cerradas"/>
      <w:r>
        <w:rPr/>
        <w:t>8.1 Desviaciones cerradas</w:t>
      </w:r>
    </w:p>
    <w:p>
      <w:pPr>
        <w:pStyle w:val="FirstParagraph"/>
        <w:rPr/>
      </w:pPr>
      <w:bookmarkStart w:id="39" w:name="desviaciones-cerradas"/>
      <w:r>
        <w:rPr/>
        <w:t>Las desviaciones H1-H9 se consideran cerradas. En particular, ya no es correcto describir el aplicativo como una “caja negra” para revisión externa: hoy existen exportaciones CSV, tablas intermedias y trazabilidad explícita de corrida.</w:t>
      </w:r>
      <w:bookmarkEnd w:id="39"/>
    </w:p>
    <w:p>
      <w:pPr>
        <w:pStyle w:val="Heading3"/>
        <w:rPr/>
      </w:pPr>
      <w:r>
        <w:rPr/>
        <w:t>8.2 Desviaciones abiertas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455"/>
        <w:gridCol w:w="2905"/>
      </w:tblGrid>
      <w:tr>
        <w:trPr>
          <w:tblHeader w:val="true"/>
        </w:trPr>
        <w:tc>
          <w:tcPr>
            <w:tcW w:w="6455"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Desviación abierta</w:t>
            </w:r>
          </w:p>
        </w:tc>
        <w:tc>
          <w:tcPr>
            <w:tcW w:w="2905"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Impacto</w:t>
            </w:r>
          </w:p>
        </w:tc>
      </w:tr>
      <w:tr>
        <w:trPr/>
        <w:tc>
          <w:tcPr>
            <w:tcW w:w="645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Material documental complementario en proceso de consolidación</w:t>
            </w:r>
          </w:p>
        </w:tc>
        <w:tc>
          <w:tcPr>
            <w:tcW w:w="290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Oportunidad de mejora editorial y de organización</w:t>
            </w:r>
          </w:p>
        </w:tc>
      </w:tr>
      <w:tr>
        <w:trPr/>
        <w:tc>
          <w:tcPr>
            <w:tcW w:w="645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Warning de </w:t>
            </w:r>
            <w:r>
              <w:rPr>
                <w:rStyle w:val="VerbatimChar"/>
                <w:rFonts w:eastAsia="" w:cs=""/>
                <w:kern w:val="0"/>
                <w:szCs w:val="24"/>
                <w:lang w:val="en-US" w:eastAsia="zh-CN" w:bidi="ar-SA"/>
              </w:rPr>
              <w:t>timedatectl</w:t>
            </w:r>
            <w:r>
              <w:rPr>
                <w:rFonts w:eastAsia="" w:cs=""/>
                <w:kern w:val="0"/>
                <w:sz w:val="24"/>
                <w:szCs w:val="24"/>
                <w:lang w:val="en-US" w:eastAsia="zh-CN" w:bidi="ar-SA"/>
              </w:rPr>
              <w:t xml:space="preserve"> al cargar </w:t>
            </w:r>
            <w:r>
              <w:rPr>
                <w:rStyle w:val="VerbatimChar"/>
                <w:rFonts w:eastAsia="" w:cs=""/>
                <w:kern w:val="0"/>
                <w:szCs w:val="24"/>
                <w:lang w:val="en-US" w:eastAsia="zh-CN" w:bidi="ar-SA"/>
              </w:rPr>
              <w:t>tidyverse</w:t>
            </w:r>
            <w:r>
              <w:rPr>
                <w:rFonts w:eastAsia="" w:cs=""/>
                <w:kern w:val="0"/>
                <w:sz w:val="24"/>
                <w:szCs w:val="24"/>
                <w:lang w:val="en-US" w:eastAsia="zh-CN" w:bidi="ar-SA"/>
              </w:rPr>
              <w:t xml:space="preserve"> en sandbox</w:t>
            </w:r>
          </w:p>
        </w:tc>
        <w:tc>
          <w:tcPr>
            <w:tcW w:w="290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 afecta cálculos ni resultados; es ambiental</w:t>
            </w:r>
            <w:bookmarkStart w:id="40" w:name="desviaciones-abiertas"/>
            <w:bookmarkEnd w:id="40"/>
          </w:p>
        </w:tc>
      </w:tr>
    </w:tbl>
    <w:p>
      <w:pPr>
        <w:pStyle w:val="Heading3"/>
        <w:rPr/>
      </w:pPr>
      <w:r>
        <w:rPr/>
        <w:t>8.3 Riesgo residual</w:t>
      </w:r>
    </w:p>
    <w:p>
      <w:pPr>
        <w:pStyle w:val="FirstParagraph"/>
        <w:rPr/>
      </w:pPr>
      <w:r>
        <w:rPr/>
        <w:t>El riesgo residual principal no es matemático sino de mantenimiento editorial del repositorio. La recomendación es continuar ordenando los artefactos de documentación complementaria en una siguiente iteración.</w:t>
      </w:r>
    </w:p>
    <w:p>
      <w:pPr>
        <w:pStyle w:val="Normal"/>
        <w:rPr/>
      </w:pPr>
      <w:bookmarkStart w:id="41" w:name="X04cc1528a0002d492cf2735305ad64f4e8c5d64"/>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p>
    <w:p>
      <w:pPr>
        <w:pStyle w:val="Heading2"/>
        <w:rPr/>
      </w:pPr>
      <w:bookmarkStart w:id="42" w:name="reproducibilidad"/>
      <w:r>
        <w:rPr/>
        <w:t>9. Reproducibilidad</w:t>
      </w:r>
    </w:p>
    <w:p>
      <w:pPr>
        <w:pStyle w:val="FirstParagraph"/>
        <w:rPr/>
      </w:pPr>
      <w:r>
        <w:rPr/>
        <w:t xml:space="preserve">La reproducibilidad del entregable final fue verificada mediante </w:t>
      </w:r>
      <w:r>
        <w:rPr>
          <w:rStyle w:val="VerbatimChar"/>
        </w:rPr>
        <w:t>deliv/09_informe_final/tests/test_09_reproducibilidad.R</w:t>
      </w:r>
      <w:r>
        <w:rPr/>
        <w:t xml:space="preserve">. La corrida fue satisfactoria. El único warning observado provino del intento de </w:t>
      </w:r>
      <w:r>
        <w:rPr>
          <w:rStyle w:val="VerbatimChar"/>
        </w:rPr>
        <w:t>lubridate</w:t>
      </w:r>
      <w:r>
        <w:rPr/>
        <w:t xml:space="preserve"> de consultar la zona horaria del sistema mediante </w:t>
      </w:r>
      <w:r>
        <w:rPr>
          <w:rStyle w:val="VerbatimChar"/>
        </w:rPr>
        <w:t>timedatectl</w:t>
      </w:r>
      <w:r>
        <w:rPr/>
        <w:t>, algo esperable en el entorno restringido donde se ejecutó la prueba.</w:t>
      </w:r>
    </w:p>
    <w:p>
      <w:pPr>
        <w:pStyle w:val="BodyText"/>
        <w:rPr/>
      </w:pPr>
      <w:r>
        <w:rPr/>
        <w:t xml:space="preserve">La prueba cubre repetibilidad de nIQR, MADe, Algoritmo A, puntajes </w:t>
      </w:r>
      <w:r>
        <w:rPr>
          <w:rStyle w:val="VerbatimChar"/>
        </w:rPr>
        <w:t>z</w:t>
      </w:r>
      <w:r>
        <w:rPr/>
        <w:t xml:space="preserve">, </w:t>
      </w:r>
      <w:r>
        <w:rPr>
          <w:rStyle w:val="VerbatimChar"/>
        </w:rPr>
        <w:t>z'</w:t>
      </w:r>
      <w:r>
        <w:rPr/>
        <w:t xml:space="preserve">, </w:t>
      </w:r>
      <w:r>
        <w:rPr>
          <w:rStyle w:val="VerbatimChar"/>
        </w:rPr>
        <w:t>zeta</w:t>
      </w:r>
      <w:r>
        <w:rPr/>
        <w:t xml:space="preserve">, </w:t>
      </w:r>
      <w:r>
        <w:rPr>
          <w:rStyle w:val="VerbatimChar"/>
        </w:rPr>
        <w:t>En</w:t>
      </w:r>
      <w:r>
        <w:rPr/>
        <w:t>, evaluaciones de aceptación y determinismo de cálculos de homogeneidad. En consecuencia, la reproducibilidad funcional del aplicativo se considera satisfactoria para el alcance evaluado.</w:t>
      </w:r>
    </w:p>
    <w:p>
      <w:pPr>
        <w:pStyle w:val="Normal"/>
        <w:rPr/>
      </w:pPr>
      <w:bookmarkStart w:id="43" w:name="reproducibilidad"/>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p>
    <w:p>
      <w:pPr>
        <w:pStyle w:val="Heading2"/>
        <w:rPr/>
      </w:pPr>
      <w:bookmarkStart w:id="44" w:name="calidad-del-código"/>
      <w:r>
        <w:rPr/>
        <w:t>10. Calidad del Código</w:t>
      </w:r>
    </w:p>
    <w:p>
      <w:pPr>
        <w:pStyle w:val="FirstParagraph"/>
        <w:rPr/>
      </w:pPr>
      <w:r>
        <w:rPr/>
        <w:t>La revisión del código muestra una mejora cualitativa frente a la versión 1.0 del informe. Las correcciones no se limitaron a “arreglar números”; también mejoraron la legibilidad y la separación conceptual entre cálculos.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829"/>
        <w:gridCol w:w="5531"/>
      </w:tblGrid>
      <w:tr>
        <w:trPr>
          <w:tblHeader w:val="true"/>
        </w:trPr>
        <w:tc>
          <w:tcPr>
            <w:tcW w:w="382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Aspecto</w:t>
            </w:r>
          </w:p>
        </w:tc>
        <w:tc>
          <w:tcPr>
            <w:tcW w:w="553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Observación</w:t>
            </w:r>
          </w:p>
        </w:tc>
      </w:tr>
      <w:tr>
        <w:trPr/>
        <w:tc>
          <w:tcPr>
            <w:tcW w:w="382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Nomenclatura</w:t>
            </w:r>
          </w:p>
        </w:tc>
        <w:tc>
          <w:tcPr>
            <w:tcW w:w="553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Mejora con </w:t>
            </w:r>
            <w:r>
              <w:rPr>
                <w:rStyle w:val="VerbatimChar"/>
                <w:rFonts w:eastAsia="" w:cs=""/>
                <w:kern w:val="0"/>
                <w:szCs w:val="24"/>
                <w:lang w:val="en-US" w:eastAsia="zh-CN" w:bidi="ar-SA"/>
              </w:rPr>
              <w:t>MADe_hom</w:t>
            </w:r>
            <w:r>
              <w:rPr>
                <w:rFonts w:eastAsia="" w:cs=""/>
                <w:kern w:val="0"/>
                <w:sz w:val="24"/>
                <w:szCs w:val="24"/>
                <w:lang w:val="en-US" w:eastAsia="zh-CN" w:bidi="ar-SA"/>
              </w:rPr>
              <w:t xml:space="preserve"> para separar contextos</w:t>
            </w:r>
          </w:p>
        </w:tc>
      </w:tr>
      <w:tr>
        <w:trPr/>
        <w:tc>
          <w:tcPr>
            <w:tcW w:w="382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Trazabilidad</w:t>
            </w:r>
          </w:p>
        </w:tc>
        <w:tc>
          <w:tcPr>
            <w:tcW w:w="5531"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run_metadata</w:t>
            </w:r>
            <w:r>
              <w:rPr>
                <w:rFonts w:eastAsia="" w:cs=""/>
                <w:kern w:val="0"/>
                <w:sz w:val="24"/>
                <w:szCs w:val="24"/>
                <w:lang w:val="en-US" w:eastAsia="zh-CN" w:bidi="ar-SA"/>
              </w:rPr>
              <w:t xml:space="preserve"> y exportaciones reducen opacidad operativa</w:t>
            </w:r>
          </w:p>
        </w:tc>
      </w:tr>
      <w:tr>
        <w:trPr/>
        <w:tc>
          <w:tcPr>
            <w:tcW w:w="382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Defensividad</w:t>
            </w:r>
          </w:p>
        </w:tc>
        <w:tc>
          <w:tcPr>
            <w:tcW w:w="553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Manejo explícito de </w:t>
            </w:r>
            <w:r>
              <w:rPr>
                <w:rStyle w:val="VerbatimChar"/>
                <w:rFonts w:eastAsia="" w:cs=""/>
                <w:kern w:val="0"/>
                <w:szCs w:val="24"/>
                <w:lang w:val="en-US" w:eastAsia="zh-CN" w:bidi="ar-SA"/>
              </w:rPr>
              <w:t>ss_sq &lt; 0</w:t>
            </w:r>
            <w:r>
              <w:rPr>
                <w:rFonts w:eastAsia="" w:cs=""/>
                <w:kern w:val="0"/>
                <w:sz w:val="24"/>
                <w:szCs w:val="24"/>
                <w:lang w:val="en-US" w:eastAsia="zh-CN" w:bidi="ar-SA"/>
              </w:rPr>
              <w:t xml:space="preserve"> y umbral </w:t>
            </w:r>
            <w:r>
              <w:rPr>
                <w:rStyle w:val="VerbatimChar"/>
                <w:rFonts w:eastAsia="" w:cs=""/>
                <w:kern w:val="0"/>
                <w:szCs w:val="24"/>
                <w:lang w:val="en-US" w:eastAsia="zh-CN" w:bidi="ar-SA"/>
              </w:rPr>
              <w:t>n &gt;= 12</w:t>
            </w:r>
          </w:p>
        </w:tc>
      </w:tr>
      <w:tr>
        <w:trPr/>
        <w:tc>
          <w:tcPr>
            <w:tcW w:w="382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Auditabilidad</w:t>
            </w:r>
          </w:p>
        </w:tc>
        <w:tc>
          <w:tcPr>
            <w:tcW w:w="553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Intermedios ANOVA y CSV exportables</w:t>
            </w:r>
          </w:p>
        </w:tc>
      </w:tr>
    </w:tbl>
    <w:p>
      <w:pPr>
        <w:pStyle w:val="BodyText"/>
        <w:rPr/>
      </w:pPr>
      <w:r>
        <w:rPr/>
        <w:t>La existencia de material documental complementario aún en consolidación no cambia la valoración positiva del código estadístico ni del flujo principal de la app.</w:t>
      </w:r>
    </w:p>
    <w:p>
      <w:pPr>
        <w:pStyle w:val="Normal"/>
        <w:rPr/>
      </w:pPr>
      <w:bookmarkStart w:id="45" w:name="calidad-del-código"/>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
    </w:p>
    <w:p>
      <w:pPr>
        <w:pStyle w:val="Heading2"/>
        <w:rPr/>
      </w:pPr>
      <w:bookmarkStart w:id="46" w:name="conclusiones"/>
      <w:r>
        <w:rPr/>
        <w:t>11. Conclusiones</w:t>
      </w:r>
    </w:p>
    <w:p>
      <w:pPr>
        <w:pStyle w:val="FirstParagraph"/>
        <w:rPr/>
      </w:pPr>
      <w:r>
        <w:rPr/>
        <w:t xml:space="preserve">La evidencia analizada permite concluir que la aplicación PT/ptcalc se encuentra </w:t>
      </w:r>
      <w:r>
        <w:rPr>
          <w:b/>
          <w:bCs/>
        </w:rPr>
        <w:t>validada en su dimensión funcional, estadística y de reproducibilidad</w:t>
      </w:r>
      <w:r>
        <w:rPr/>
        <w:t xml:space="preserve"> para las áreas revisadas. La versión 2.0 del informe reemplaza la conclusión amplia de la v1.0 por una conclusión más precisa y más útil para auditoría:</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Conclusión</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Estado</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Implementación estadística conforme con ISO 13528:2022</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Sí</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Soporte operativo coherente con ISO 17043:202</w:t>
            </w:r>
            <w:r>
              <w:rPr>
                <w:rFonts w:eastAsia="" w:cs=""/>
                <w:kern w:val="0"/>
                <w:sz w:val="24"/>
                <w:szCs w:val="24"/>
                <w:lang w:val="en-US" w:eastAsia="zh-CN" w:bidi="ar-SA"/>
              </w:rPr>
              <w:t>3</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Sí</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Hallazgos H1-H9 cerrados</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Sí</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Validación cruzada del Algoritmo A satisfactoria</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Sí</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Consolidación documental complementaria</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En curso</w:t>
            </w:r>
          </w:p>
        </w:tc>
      </w:tr>
    </w:tbl>
    <w:p>
      <w:pPr>
        <w:pStyle w:val="BodyText"/>
        <w:rPr/>
      </w:pPr>
      <w:r>
        <w:rPr/>
        <w:t>La recomendación técnica es mantener este informe como versión vigente y, en una iteración posterior, fortalecer la organización de la documentación complementaria y completar la sección reservada para validación de scores/puntuaciones en una edición posterior del expediente de validación.</w:t>
      </w:r>
    </w:p>
    <w:p>
      <w:pPr>
        <w:pStyle w:val="Normal"/>
        <w:rPr/>
      </w:pPr>
      <w:bookmarkStart w:id="47" w:name="conclusiones"/>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p>
    <w:p>
      <w:pPr>
        <w:pStyle w:val="Normal"/>
        <w:widowControl/>
        <w:bidi w:val="0"/>
        <w:spacing w:before="0" w:after="200"/>
        <w:jc w:val="left"/>
        <w:rPr/>
      </w:pPr>
      <w:r>
        <w:rPr/>
      </w:r>
      <w:bookmarkStart w:id="48" w:name="X851b609cb4def0dd77d4657a83907377fd22a78"/>
      <w:bookmarkStart w:id="49" w:name="certificación"/>
      <w:bookmarkStart w:id="50" w:name="X851b609cb4def0dd77d4657a83907377fd22a78"/>
      <w:bookmarkStart w:id="51" w:name="certificación"/>
      <w:bookmarkEnd w:id="50"/>
      <w:bookmarkEnd w:id="5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85"/>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iberation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iberation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LibreOffice/26.2.1.2$Linux_X86_64 LibreOffice_project/620$Build-2</Application>
  <AppVersion>15.0000</AppVersion>
  <Pages>9</Pages>
  <Words>2057</Words>
  <Characters>12663</Characters>
  <CharactersWithSpaces>14447</CharactersWithSpaces>
  <Paragraphs>286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2026-03-13T17:09:04Z</dcterms:created>
  <dc:creator/>
  <dc:description/>
  <dc:language>en-US</dc:language>
  <cp:lastModifiedBy/>
  <cp:lastPrinted>2026-03-13T12:13:31Z</cp:lastPrinted>
  <dcterms:modified xsi:type="dcterms:W3CDTF">2026-03-13T12:15:49Z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