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045d38e821122b4edb036e177da9ca60f4c65f3"/>
    <w:p>
      <w:pPr>
        <w:pStyle w:val="Heading1"/>
      </w:pPr>
      <w:r>
        <w:t xml:space="preserve">P-PSEA-06 Procedimiento de Diseno Estadistico</w:t>
      </w:r>
    </w:p>
    <w:bookmarkStart w:id="14" w:name="informacion-general-del-procedimiento"/>
    <w:p>
      <w:pPr>
        <w:pStyle w:val="Heading2"/>
      </w:pPr>
      <w:r>
        <w:t xml:space="preserve">1. INFORMACION GENERAL DEL PROCEDIMIENTO</w:t>
      </w:r>
    </w:p>
    <w:bookmarkStart w:id="9" w:name="objetivo"/>
    <w:p>
      <w:pPr>
        <w:pStyle w:val="Heading3"/>
      </w:pPr>
      <w:r>
        <w:t xml:space="preserve">1.1 Objetivo</w:t>
      </w:r>
    </w:p>
    <w:p>
      <w:pPr>
        <w:pStyle w:val="FirstParagraph"/>
      </w:pPr>
      <w:r>
        <w:t xml:space="preserve">Establecer el procedimiento estadistico aplicable al diseno, calculo, validacion y evaluacion de esquemas de ensayos de aptitud desarrollados en CALAIRE, de conformidad con la norma ISO 13528:2022 y con los requisitos generales de ISO/IEC 17043:2024. Este procedimiento define la determinacion del valor asignado, la estimacion de la desviacion estandar para evaluacion de aptitud, el tratamiento de resultados atipicos mediante metodos robustos, la integracion de los estudios de homogeneidad y estabilidad, y la interpretacion de los puntajes de desempeno.</w:t>
      </w:r>
    </w:p>
    <w:bookmarkEnd w:id="9"/>
    <w:bookmarkStart w:id="10" w:name="alcance"/>
    <w:p>
      <w:pPr>
        <w:pStyle w:val="Heading3"/>
      </w:pPr>
      <w:r>
        <w:t xml:space="preserve">1.2 Alcance</w:t>
      </w:r>
    </w:p>
    <w:p>
      <w:pPr>
        <w:pStyle w:val="FirstParagraph"/>
      </w:pPr>
      <w:r>
        <w:t xml:space="preserve">Este procedimiento aplica a los ejercicios de ensayos de aptitud en los que el valor asignado se establece a partir de resultados de participantes, de laboratorios de referencia o de modelos combinados de caracterizacion. Su aplicacion comprende la etapa de diseno estadistico, la verificacion de suficiencia de datos, la estimacion de parametros robustos, el calculo de incertidumbre asociada al valor asignado y la evaluacion del desempeno de los laboratorios participantes.</w:t>
      </w:r>
    </w:p>
    <w:bookmarkEnd w:id="10"/>
    <w:bookmarkStart w:id="11" w:name="definiciones"/>
    <w:p>
      <w:pPr>
        <w:pStyle w:val="Heading3"/>
      </w:pPr>
      <w:r>
        <w:t xml:space="preserve">1.3 Definiciones</w:t>
      </w:r>
    </w:p>
    <w:p>
      <w:pPr>
        <w:pStyle w:val="Compact"/>
        <w:numPr>
          <w:ilvl w:val="0"/>
          <w:numId w:val="1001"/>
        </w:numPr>
      </w:pPr>
      <m:oMath>
        <m:sSub>
          <m:e>
            <m:r>
              <m:t>x</m:t>
            </m:r>
          </m:e>
          <m:sub>
            <m:r>
              <m:t>p</m:t>
            </m:r>
            <m:r>
              <m:t>t</m:t>
            </m:r>
          </m:sub>
        </m:sSub>
      </m:oMath>
      <w:r>
        <w:t xml:space="preserve">: valor asignado al mensurando objeto del ensayo de aptitud.</w:t>
      </w:r>
    </w:p>
    <w:p>
      <w:pPr>
        <w:pStyle w:val="Compact"/>
        <w:numPr>
          <w:ilvl w:val="0"/>
          <w:numId w:val="1001"/>
        </w:numPr>
      </w:pPr>
      <m:oMath>
        <m:sSub>
          <m:e>
            <m:r>
              <m:t>σ</m:t>
            </m:r>
          </m:e>
          <m:sub>
            <m:r>
              <m:t>p</m:t>
            </m:r>
            <m:r>
              <m:t>t</m:t>
            </m:r>
          </m:sub>
        </m:sSub>
      </m:oMath>
      <w:r>
        <w:t xml:space="preserve">: desviacion estandar para evaluacion de aptitud.</w:t>
      </w:r>
    </w:p>
    <w:p>
      <w:pPr>
        <w:pStyle w:val="Compact"/>
        <w:numPr>
          <w:ilvl w:val="0"/>
          <w:numId w:val="1001"/>
        </w:numPr>
      </w:pPr>
      <m:oMath>
        <m:r>
          <m:t>u</m:t>
        </m:r>
        <m:r>
          <m:rPr>
            <m:sty m:val="p"/>
          </m:rPr>
          <m:t>(</m:t>
        </m:r>
        <m:sSub>
          <m:e>
            <m:r>
              <m:t>x</m:t>
            </m:r>
          </m:e>
          <m:sub>
            <m:r>
              <m:t>p</m:t>
            </m:r>
            <m:r>
              <m:t>t</m:t>
            </m:r>
          </m:sub>
        </m:sSub>
        <m:r>
          <m:rPr>
            <m:sty m:val="p"/>
          </m:rPr>
          <m:t>)</m:t>
        </m:r>
      </m:oMath>
      <w:r>
        <w:t xml:space="preserve">: incertidumbre estandar asociada al valor asignado por la via estadistica.</w:t>
      </w:r>
    </w:p>
    <w:p>
      <w:pPr>
        <w:pStyle w:val="Compact"/>
        <w:numPr>
          <w:ilvl w:val="0"/>
          <w:numId w:val="1001"/>
        </w:numPr>
      </w:pPr>
      <m:oMath>
        <m:r>
          <m:t>u</m:t>
        </m:r>
        <m:r>
          <m:rPr>
            <m:sty m:val="p"/>
          </m:rPr>
          <m:t>(</m:t>
        </m:r>
        <m:sSub>
          <m:e>
            <m:r>
              <m:t>x</m:t>
            </m:r>
          </m:e>
          <m:sub>
            <m:r>
              <m:t>p</m:t>
            </m:r>
            <m:r>
              <m:t>t</m:t>
            </m:r>
          </m:sub>
        </m:sSub>
        <m:r>
          <m:rPr>
            <m:sty m:val="p"/>
          </m:rPr>
          <m:t>,</m:t>
        </m:r>
        <m:r>
          <m:t>d</m:t>
        </m:r>
        <m:r>
          <m:t>e</m:t>
        </m:r>
        <m:r>
          <m:t>f</m:t>
        </m:r>
        <m:r>
          <m:rPr>
            <m:sty m:val="p"/>
          </m:rPr>
          <m:t>)</m:t>
        </m:r>
      </m:oMath>
      <w:r>
        <w:t xml:space="preserve">: incertidumbre estandar definitiva del valor asignado, una vez integradas las contribuciones por homogeneidad y estabilidad.</w:t>
      </w:r>
    </w:p>
    <w:p>
      <w:pPr>
        <w:pStyle w:val="Compact"/>
        <w:numPr>
          <w:ilvl w:val="0"/>
          <w:numId w:val="1001"/>
        </w:numPr>
      </w:pPr>
      <m:oMath>
        <m:sSub>
          <m:e>
            <m:r>
              <m:t>u</m:t>
            </m:r>
          </m:e>
          <m:sub>
            <m:r>
              <m:t>h</m:t>
            </m:r>
            <m:r>
              <m:t>o</m:t>
            </m:r>
            <m:r>
              <m:t>m</m:t>
            </m:r>
          </m:sub>
        </m:sSub>
      </m:oMath>
      <w:r>
        <w:t xml:space="preserve">: contribucion por homogeneidad.</w:t>
      </w:r>
    </w:p>
    <w:p>
      <w:pPr>
        <w:pStyle w:val="Compact"/>
        <w:numPr>
          <w:ilvl w:val="0"/>
          <w:numId w:val="1001"/>
        </w:numPr>
      </w:pPr>
      <m:oMath>
        <m:sSub>
          <m:e>
            <m:r>
              <m:t>u</m:t>
            </m:r>
          </m:e>
          <m:sub>
            <m:r>
              <m:t>s</m:t>
            </m:r>
            <m:r>
              <m:t>t</m:t>
            </m:r>
            <m:r>
              <m:t>a</m:t>
            </m:r>
            <m:r>
              <m:t>b</m:t>
            </m:r>
          </m:sub>
        </m:sSub>
      </m:oMath>
      <w:r>
        <w:t xml:space="preserve">: contribucion por estabilidad.</w:t>
      </w:r>
    </w:p>
    <w:p>
      <w:pPr>
        <w:pStyle w:val="Compact"/>
        <w:numPr>
          <w:ilvl w:val="0"/>
          <w:numId w:val="1001"/>
        </w:numPr>
      </w:pPr>
      <m:oMath>
        <m:r>
          <m:t>p</m:t>
        </m:r>
      </m:oMath>
      <w:r>
        <w:t xml:space="preserve">: numero de participantes validos.</w:t>
      </w:r>
    </w:p>
    <w:p>
      <w:pPr>
        <w:pStyle w:val="Compact"/>
        <w:numPr>
          <w:ilvl w:val="0"/>
          <w:numId w:val="1001"/>
        </w:numPr>
      </w:pPr>
      <m:oMath>
        <m:sSup>
          <m:e>
            <m:r>
              <m:t>x</m:t>
            </m:r>
          </m:e>
          <m:sup>
            <m:r>
              <m:rPr>
                <m:sty m:val="p"/>
              </m:rPr>
              <m:t>*</m:t>
            </m:r>
          </m:sup>
        </m:sSup>
      </m:oMath>
      <w:r>
        <w:t xml:space="preserve"> </w:t>
      </w:r>
      <w:r>
        <w:t xml:space="preserve">y</w:t>
      </w:r>
      <w:r>
        <w:t xml:space="preserve"> </w:t>
      </w:r>
      <m:oMath>
        <m:sSup>
          <m:e>
            <m:r>
              <m:t>s</m:t>
            </m:r>
          </m:e>
          <m:sup>
            <m:r>
              <m:rPr>
                <m:sty m:val="p"/>
              </m:rPr>
              <m:t>*</m:t>
            </m:r>
          </m:sup>
        </m:sSup>
      </m:oMath>
      <w:r>
        <w:t xml:space="preserve">: estimadores robustos de ubicacion y dispersion obtenidos mediante Algoritmo A.</w:t>
      </w:r>
    </w:p>
    <w:bookmarkEnd w:id="11"/>
    <w:bookmarkStart w:id="12" w:name="documentos-de-referencia"/>
    <w:p>
      <w:pPr>
        <w:pStyle w:val="Heading3"/>
      </w:pPr>
      <w:r>
        <w:t xml:space="preserve">1.4 Documentos de referencia</w:t>
      </w:r>
    </w:p>
    <w:p>
      <w:pPr>
        <w:pStyle w:val="FirstParagraph"/>
      </w:pPr>
      <w:r>
        <w:t xml:space="preserve">Este procedimiento se fundamenta en ISO 13528:2022,</w:t>
      </w:r>
      <w:r>
        <w:t xml:space="preserve"> </w:t>
      </w:r>
      <w:r>
        <w:rPr>
          <w:i/>
          <w:iCs/>
        </w:rPr>
        <w:t xml:space="preserve">Statistical methods for use in proficiency testing by interlaboratory comparison</w:t>
      </w:r>
      <w:r>
        <w:t xml:space="preserve">, especialmente en sus secciones sobre metodos robustos, evaluacion del valor asignado, incertidumbre asociada, homogeneidad, estabilidad y calculo de puntajes de desempeno. De manera complementaria, se aplica ISO/IEC 17043:2024 para los requisitos generales de operacion y aseguramiento tecnico de los esquemas de ensayos de aptitud. La implementacion computacional institucional se realiza mediante el paquete R</w:t>
      </w:r>
      <w:r>
        <w:t xml:space="preserve"> </w:t>
      </w:r>
      <w:r>
        <w:rPr>
          <w:rStyle w:val="VerbatimChar"/>
        </w:rPr>
        <w:t xml:space="preserve">ptcalc</w:t>
      </w:r>
      <w:r>
        <w:t xml:space="preserve">, validado frente a hojas de calculo de referencia basadas en ISO 13528:2022, Anexo C.</w:t>
      </w:r>
    </w:p>
    <w:bookmarkEnd w:id="12"/>
    <w:bookmarkStart w:id="13" w:name="condiciones-generales"/>
    <w:p>
      <w:pPr>
        <w:pStyle w:val="Heading3"/>
      </w:pPr>
      <w:r>
        <w:t xml:space="preserve">1.5 Condiciones generales</w:t>
      </w:r>
    </w:p>
    <w:p>
      <w:pPr>
        <w:pStyle w:val="FirstParagraph"/>
      </w:pPr>
      <w:r>
        <w:t xml:space="preserve">La aplicacion del presente procedimiento requiere que los resultados utilizados para el diseno estadistico correspondan al mismo mensurando, empleen unidades consistentes y cuenten con trazabilidad documental suficiente para su analisis. Toda ejecucion del procedimiento debe garantizar identificacion univoca de analitos, niveles de concentracion, participantes, items y replicados. La informacion procesada debe conservar integridad metrologica, trazabilidad de la fuente de datos y control de version del metodo de calculo aplicado.</w:t>
      </w:r>
    </w:p>
    <w:bookmarkEnd w:id="13"/>
    <w:bookmarkEnd w:id="14"/>
    <w:bookmarkStart w:id="56" w:name="informacion-especifica-del-procedimiento"/>
    <w:p>
      <w:pPr>
        <w:pStyle w:val="Heading2"/>
      </w:pPr>
      <w:r>
        <w:t xml:space="preserve">2. INFORMACION ESPECIFICA DEL PROCEDIMIENTO</w:t>
      </w:r>
    </w:p>
    <w:bookmarkStart w:id="15" w:name="roles-y-responsabilidades"/>
    <w:p>
      <w:pPr>
        <w:pStyle w:val="Heading3"/>
      </w:pPr>
      <w:r>
        <w:t xml:space="preserve">2.1 Roles y responsabilidades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Cargo</w:t>
            </w:r>
          </w:p>
        </w:tc>
        <w:tc>
          <w:tcPr/>
          <w:p>
            <w:pPr>
              <w:pStyle w:val="Compact"/>
            </w:pPr>
            <w:r>
              <w:t xml:space="preserve">Responsabilidad</w:t>
            </w:r>
          </w:p>
        </w:tc>
      </w:tr>
      <w:tr>
        <w:tc>
          <w:tcPr/>
          <w:p>
            <w:pPr>
              <w:pStyle w:val="Compact"/>
            </w:pPr>
            <w:r>
              <w:t xml:space="preserve">Estadistico / Experto tecnico</w:t>
            </w:r>
          </w:p>
        </w:tc>
        <w:tc>
          <w:tcPr/>
          <w:p>
            <w:pPr>
              <w:pStyle w:val="Compact"/>
            </w:pPr>
            <w:r>
              <w:t xml:space="preserve">Disenar el modelo estadistico del esquema, seleccionar los estimadores aplicables, calcular el valor asignado, la desviacion estandar para evaluacion y revisar la coherencia tecnica de los resultados.</w:t>
            </w:r>
          </w:p>
        </w:tc>
      </w:tr>
      <w:tr>
        <w:tc>
          <w:tcPr/>
          <w:p>
            <w:pPr>
              <w:pStyle w:val="Compact"/>
            </w:pPr>
            <w:r>
              <w:t xml:space="preserve">Coordinador EA</w:t>
            </w:r>
          </w:p>
        </w:tc>
        <w:tc>
          <w:tcPr/>
          <w:p>
            <w:pPr>
              <w:pStyle w:val="Compact"/>
            </w:pPr>
            <w:r>
              <w:t xml:space="preserve">Aprobar el diseno estadistico, verificar la conformidad con ISO 13528:2022 e ISO/IEC 17043:2024, y autorizar la emision de resultados a participantes.</w:t>
            </w:r>
          </w:p>
        </w:tc>
      </w:tr>
      <w:tr>
        <w:tc>
          <w:tcPr/>
          <w:p>
            <w:pPr>
              <w:pStyle w:val="Compact"/>
            </w:pPr>
            <w:r>
              <w:t xml:space="preserve">Ingeniero Operativo</w:t>
            </w:r>
          </w:p>
        </w:tc>
        <w:tc>
          <w:tcPr/>
          <w:p>
            <w:pPr>
              <w:pStyle w:val="Compact"/>
            </w:pPr>
            <w:r>
              <w:t xml:space="preserve">Garantizar las condiciones tecnicas de preparacion, manejo y seguimiento de los items del ensayo de aptitud, asi como la disponibilidad y consistencia de los datos de entrada.</w:t>
            </w:r>
          </w:p>
        </w:tc>
      </w:tr>
      <w:tr>
        <w:tc>
          <w:tcPr/>
          <w:p>
            <w:pPr>
              <w:pStyle w:val="Compact"/>
            </w:pPr>
            <w:r>
              <w:t xml:space="preserve">Profesional de Calidad</w:t>
            </w:r>
          </w:p>
        </w:tc>
        <w:tc>
          <w:tcPr/>
          <w:p>
            <w:pPr>
              <w:pStyle w:val="Compact"/>
            </w:pPr>
            <w:r>
              <w:t xml:space="preserve">Controlar la documentacion aplicable, asegurar la trazabilidad de registros, verificar la vigencia del procedimiento y conservar evidencia de revision y aprobacion.</w:t>
            </w:r>
          </w:p>
        </w:tc>
      </w:tr>
    </w:tbl>
    <w:bookmarkEnd w:id="15"/>
    <w:bookmarkStart w:id="52" w:name="desarrollo-del-diseno-estadistico"/>
    <w:p>
      <w:pPr>
        <w:pStyle w:val="Heading3"/>
      </w:pPr>
      <w:r>
        <w:t xml:space="preserve">2.2 Desarrollo del diseno estadistico</w:t>
      </w:r>
    </w:p>
    <w:bookmarkStart w:id="16" w:name="definicion-de-los-objetivos"/>
    <w:p>
      <w:pPr>
        <w:pStyle w:val="Heading4"/>
      </w:pPr>
      <w:r>
        <w:t xml:space="preserve">2.2.1 Definicion de los objetivos</w:t>
      </w:r>
    </w:p>
    <w:p>
      <w:pPr>
        <w:pStyle w:val="FirstParagraph"/>
      </w:pPr>
      <w:r>
        <w:t xml:space="preserve">Antes de definir el modelo estadistico del esquema, se debe establecer el objetivo tecnico del ensayo de aptitud y la finalidad de la evaluacion de desempeno. Los objetivos del diseno podran comprender los siguientes propositos:</w:t>
      </w:r>
    </w:p>
    <w:p>
      <w:pPr>
        <w:pStyle w:val="Compact"/>
        <w:numPr>
          <w:ilvl w:val="0"/>
          <w:numId w:val="1002"/>
        </w:numPr>
      </w:pPr>
      <w:r>
        <w:t xml:space="preserve">Evaluar el desempeno de los laboratorios.</w:t>
      </w:r>
    </w:p>
    <w:p>
      <w:pPr>
        <w:pStyle w:val="Compact"/>
        <w:numPr>
          <w:ilvl w:val="0"/>
          <w:numId w:val="1002"/>
        </w:numPr>
      </w:pPr>
      <w:r>
        <w:t xml:space="preserve">Comparar metodos o equipos de medicion.</w:t>
      </w:r>
    </w:p>
    <w:p>
      <w:pPr>
        <w:pStyle w:val="Compact"/>
        <w:numPr>
          <w:ilvl w:val="0"/>
          <w:numId w:val="1002"/>
        </w:numPr>
      </w:pPr>
      <w:r>
        <w:t xml:space="preserve">Validar la precision y trazabilidad de resultados.</w:t>
      </w:r>
    </w:p>
    <w:p>
      <w:pPr>
        <w:pStyle w:val="Compact"/>
        <w:numPr>
          <w:ilvl w:val="0"/>
          <w:numId w:val="1002"/>
        </w:numPr>
      </w:pPr>
      <w:r>
        <w:t xml:space="preserve">Determinar sesgos o tendencias sistematicas.</w:t>
      </w:r>
    </w:p>
    <w:bookmarkEnd w:id="16"/>
    <w:bookmarkStart w:id="17" w:name="Xeda03adbfc5dad65f57f3b7e598352f4f39e4c0"/>
    <w:p>
      <w:pPr>
        <w:pStyle w:val="Heading4"/>
      </w:pPr>
      <w:r>
        <w:t xml:space="preserve">2.2.2 Seleccion del tipo de datos y numero de participantes</w:t>
      </w:r>
    </w:p>
    <w:p>
      <w:pPr>
        <w:pStyle w:val="FirstParagraph"/>
      </w:pPr>
      <w:r>
        <w:t xml:space="preserve">La definicion del tipo de datos y del numero de participantes debe realizarse antes de seleccionar el estimador del valor asignado. Para el presente procedimiento se adoptan las siguientes condiciones:</w:t>
      </w:r>
    </w:p>
    <w:p>
      <w:pPr>
        <w:pStyle w:val="Compact"/>
        <w:numPr>
          <w:ilvl w:val="0"/>
          <w:numId w:val="1003"/>
        </w:numPr>
      </w:pPr>
      <w:r>
        <w:t xml:space="preserve">Los datos del esquema deben ser cuantitativos y expresarse en unidades de concentracion, tales como nmol/mol, umol/mol, ppb o ppm, segun corresponda al mensurando.</w:t>
      </w:r>
    </w:p>
    <w:p>
      <w:pPr>
        <w:pStyle w:val="Compact"/>
        <w:numPr>
          <w:ilvl w:val="0"/>
          <w:numId w:val="1003"/>
        </w:numPr>
      </w:pPr>
      <w:r>
        <w:t xml:space="preserve">La distribucion esperada de resultados debe ser aproximadamente normal; cuando exista asimetria significativa podra considerarse transformacion logaritmica o un tratamiento robusto equivalente, sujeto a justificacion tecnica.</w:t>
      </w:r>
    </w:p>
    <w:p>
      <w:pPr>
        <w:pStyle w:val="Compact"/>
        <w:numPr>
          <w:ilvl w:val="0"/>
          <w:numId w:val="1003"/>
        </w:numPr>
      </w:pPr>
      <w:r>
        <w:t xml:space="preserve">El numero minimo de participantes recomendado para establecer un consenso robusto es de 12.</w:t>
      </w:r>
    </w:p>
    <w:p>
      <w:pPr>
        <w:pStyle w:val="Compact"/>
        <w:numPr>
          <w:ilvl w:val="0"/>
          <w:numId w:val="1003"/>
        </w:numPr>
      </w:pPr>
      <w:r>
        <w:t xml:space="preserve">Si</w:t>
      </w:r>
      <w:r>
        <w:t xml:space="preserve"> </w:t>
      </w:r>
      <m:oMath>
        <m:r>
          <m:t>p</m:t>
        </m:r>
        <m:r>
          <m:rPr>
            <m:sty m:val="p"/>
          </m:rPr>
          <m:t>≥</m:t>
        </m:r>
        <m:r>
          <m:t>12</m:t>
        </m:r>
      </m:oMath>
      <w:r>
        <w:t xml:space="preserve">, el valor asignado por consenso debera determinarse preferentemente mediante Algoritmo A.</w:t>
      </w:r>
    </w:p>
    <w:p>
      <w:pPr>
        <w:pStyle w:val="Compact"/>
        <w:numPr>
          <w:ilvl w:val="0"/>
          <w:numId w:val="1003"/>
        </w:numPr>
      </w:pPr>
      <w:r>
        <w:t xml:space="preserve">Si</w:t>
      </w:r>
      <w:r>
        <w:t xml:space="preserve"> </w:t>
      </w:r>
      <m:oMath>
        <m:r>
          <m:t>p</m:t>
        </m:r>
        <m:r>
          <m:rPr>
            <m:sty m:val="p"/>
          </m:rPr>
          <m:t>&lt;</m:t>
        </m:r>
        <m:r>
          <m:t>12</m:t>
        </m:r>
      </m:oMath>
      <w:r>
        <w:t xml:space="preserve">, el valor asignado por consenso podra determinarse mediante la mediana de los resultados validos.</w:t>
      </w:r>
    </w:p>
    <w:bookmarkEnd w:id="17"/>
    <w:bookmarkStart w:id="18" w:name="preparacion-y-depuracion-de-datos"/>
    <w:p>
      <w:pPr>
        <w:pStyle w:val="Heading4"/>
      </w:pPr>
      <w:r>
        <w:t xml:space="preserve">2.2.3 Preparacion y depuracion de datos</w:t>
      </w:r>
    </w:p>
    <w:p>
      <w:pPr>
        <w:pStyle w:val="FirstParagraph"/>
      </w:pPr>
      <w:r>
        <w:t xml:space="preserve">Antes de cualquier calculo, se consolidaran los resultados reportados por los participantes y se verificara la consistencia de identificadores, unidades, analitos, niveles de concentracion y estructura de replicados. Los valores no finitos, faltantes o manifiestamente invalidos desde el punto de vista metrologico no seran considerados en el calculo de estadisticos robustos. En la implementacion institucional, los valores</w:t>
      </w:r>
      <w:r>
        <w:t xml:space="preserve"> </w:t>
      </w:r>
      <w:r>
        <w:rPr>
          <w:rStyle w:val="VerbatimChar"/>
        </w:rPr>
        <w:t xml:space="preserve">NA</w:t>
      </w:r>
      <w:r>
        <w:t xml:space="preserve">,</w:t>
      </w:r>
      <w:r>
        <w:t xml:space="preserve"> </w:t>
      </w:r>
      <w:r>
        <w:rPr>
          <w:rStyle w:val="VerbatimChar"/>
        </w:rPr>
        <w:t xml:space="preserve">Inf</w:t>
      </w:r>
      <w:r>
        <w:t xml:space="preserve"> </w:t>
      </w:r>
      <w:r>
        <w:t xml:space="preserve">y</w:t>
      </w:r>
      <w:r>
        <w:t xml:space="preserve"> </w:t>
      </w:r>
      <w:r>
        <w:rPr>
          <w:rStyle w:val="VerbatimChar"/>
        </w:rPr>
        <w:t xml:space="preserve">-Inf</w:t>
      </w:r>
      <w:r>
        <w:t xml:space="preserve"> </w:t>
      </w:r>
      <w:r>
        <w:t xml:space="preserve">se excluyen antes de iniciar la estimacion. Para la aplicacion del Algoritmo A, debera verificarse que el conjunto resultante contenga al menos tres observaciones validas, es decir,</w:t>
      </w:r>
      <w:r>
        <w:t xml:space="preserve"> </w:t>
      </w:r>
      <m:oMath>
        <m:r>
          <m:t>p</m:t>
        </m:r>
        <m:r>
          <m:rPr>
            <m:sty m:val="p"/>
          </m:rPr>
          <m:t>≥</m:t>
        </m:r>
        <m:r>
          <m:t>3</m:t>
        </m:r>
      </m:oMath>
      <w:r>
        <w:t xml:space="preserve">.</w:t>
      </w:r>
    </w:p>
    <w:bookmarkEnd w:id="18"/>
    <w:bookmarkStart w:id="19" w:name="seleccion-del-metodo-estadistico"/>
    <w:p>
      <w:pPr>
        <w:pStyle w:val="Heading4"/>
      </w:pPr>
      <w:r>
        <w:t xml:space="preserve">2.2.4 Seleccion del metodo estadistico</w:t>
      </w:r>
    </w:p>
    <w:p>
      <w:pPr>
        <w:pStyle w:val="FirstParagraph"/>
      </w:pPr>
      <w:r>
        <w:t xml:space="preserve">La seleccion del metodo para determinar el valor asignado y la desviacion estandar de evaluacion se realizara de acuerdo con la naturaleza del esquema, la disponibilidad de material de referencia o resultados de referencia, el numero de participantes validos y el comportamiento estadistico observado en los datos. Cuando exista un valor trazable proporcionado por un laboratorio de referencia o por un material suficientemente caracterizado, este podra utilizarse como base del valor asignado. Cuando no exista un valor de referencia externo y se disponga de una base suficiente de resultados, se utilizaran metodos robustos para obtener un valor de consenso resistente a valores atipicos. Cuando el esquema requiera un procedimiento iterativo conforme al Anexo C de ISO 13528:2022, se empleara el Algoritmo A como metodo principal para estimar</w:t>
      </w:r>
      <w:r>
        <w:t xml:space="preserve"> </w:t>
      </w:r>
      <m:oMath>
        <m:sSup>
          <m:e>
            <m:r>
              <m:t>x</m:t>
            </m:r>
          </m:e>
          <m:sup>
            <m:r>
              <m:rPr>
                <m:sty m:val="p"/>
              </m:rPr>
              <m:t>*</m:t>
            </m:r>
          </m:sup>
        </m:sSup>
      </m:oMath>
      <w:r>
        <w:t xml:space="preserve"> </w:t>
      </w:r>
      <w:r>
        <w:t xml:space="preserve">y</w:t>
      </w:r>
      <w:r>
        <w:t xml:space="preserve"> </w:t>
      </w:r>
      <m:oMath>
        <m:sSup>
          <m:e>
            <m:r>
              <m:t>s</m:t>
            </m:r>
          </m:e>
          <m:sup>
            <m:r>
              <m:rPr>
                <m:sty m:val="p"/>
              </m:rPr>
              <m:t>*</m:t>
            </m:r>
          </m:sup>
        </m:sSup>
      </m:oMath>
      <w:r>
        <w:t xml:space="preserve">.</w:t>
      </w:r>
    </w:p>
    <w:bookmarkEnd w:id="19"/>
    <w:bookmarkStart w:id="22" w:name="estimadores-robustos-de-dispersion"/>
    <w:p>
      <w:pPr>
        <w:pStyle w:val="Heading4"/>
      </w:pPr>
      <w:r>
        <w:t xml:space="preserve">2.2.5 Estimadores robustos de dispersion</w:t>
      </w:r>
    </w:p>
    <w:bookmarkStart w:id="20" w:name="made"/>
    <w:p>
      <w:pPr>
        <w:pStyle w:val="Heading5"/>
      </w:pPr>
      <w:r>
        <w:t xml:space="preserve">2.2.5.1 MADe</w:t>
      </w:r>
    </w:p>
    <w:p>
      <w:pPr>
        <w:pStyle w:val="FirstParagraph"/>
      </w:pPr>
      <w:r>
        <w:t xml:space="preserve">Cuando se requiera un estimador robusto simple de dispersion, se utilizara la desviacion absoluta mediana escalada, MADe, definida por la expresion:</w:t>
      </w:r>
    </w:p>
    <w:p>
      <w:pPr>
        <w:pStyle w:val="BodyText"/>
      </w:pPr>
      <m:oMathPara>
        <m:oMathParaPr>
          <m:jc m:val="center"/>
        </m:oMathParaPr>
        <m:oMath>
          <m:sSup>
            <m:e>
              <m:r>
                <m:t>s</m:t>
              </m:r>
            </m:e>
            <m:sup>
              <m:r>
                <m:rPr>
                  <m:sty m:val="p"/>
                </m:rPr>
                <m:t>*</m:t>
              </m:r>
            </m:sup>
          </m:sSup>
          <m:r>
            <m:rPr>
              <m:sty m:val="p"/>
            </m:rPr>
            <m:t>=</m:t>
          </m:r>
          <m:r>
            <m:t>1.483</m:t>
          </m:r>
          <m:r>
            <m:rPr>
              <m:sty m:val="p"/>
            </m:rPr>
            <m:t>×</m:t>
          </m:r>
          <m:r>
            <m:rPr>
              <m:sty m:val="p"/>
            </m:rPr>
            <m:t>mediana</m:t>
          </m:r>
          <m:d>
            <m:dPr>
              <m:begChr m:val="("/>
              <m:sepChr m:val=""/>
              <m:endChr m:val=")"/>
              <m:grow/>
            </m:dPr>
            <m:e>
              <m:d>
                <m:dPr>
                  <m:begChr m:val="|"/>
                  <m:sepChr m:val=""/>
                  <m:endChr m:val="|"/>
                  <m:grow/>
                </m:dPr>
                <m:e>
                  <m:sSub>
                    <m:e>
                      <m:r>
                        <m:t>x</m:t>
                      </m:r>
                    </m:e>
                    <m:sub>
                      <m:r>
                        <m:t>i</m:t>
                      </m:r>
                    </m:sub>
                  </m:sSub>
                  <m:r>
                    <m:rPr>
                      <m:sty m:val="p"/>
                    </m:rPr>
                    <m:t>−</m:t>
                  </m:r>
                  <m:sSup>
                    <m:e>
                      <m:r>
                        <m:t>x</m:t>
                      </m:r>
                    </m:e>
                    <m:sup>
                      <m:r>
                        <m:rPr>
                          <m:sty m:val="p"/>
                        </m:rPr>
                        <m:t>*</m:t>
                      </m:r>
                    </m:sup>
                  </m:sSup>
                </m:e>
              </m:d>
            </m:e>
          </m:d>
        </m:oMath>
      </m:oMathPara>
    </w:p>
    <w:p>
      <w:pPr>
        <w:pStyle w:val="FirstParagraph"/>
      </w:pPr>
      <w:r>
        <w:t xml:space="preserve">donde</w:t>
      </w:r>
      <w:r>
        <w:t xml:space="preserve"> </w:t>
      </w:r>
      <m:oMath>
        <m:sSup>
          <m:e>
            <m:r>
              <m:t>x</m:t>
            </m:r>
          </m:e>
          <m:sup>
            <m:r>
              <m:rPr>
                <m:sty m:val="p"/>
              </m:rPr>
              <m:t>*</m:t>
            </m:r>
          </m:sup>
        </m:sSup>
      </m:oMath>
      <w:r>
        <w:t xml:space="preserve"> </w:t>
      </w:r>
      <w:r>
        <w:t xml:space="preserve">corresponde a la mediana de los resultados validos. El factor de escalado institucional adoptado es 1.483, en concordancia con la implementacion R validada. No se utilizara el valor 1.4826 en la documentacion operativa del presente procedimiento.</w:t>
      </w:r>
    </w:p>
    <w:bookmarkEnd w:id="20"/>
    <w:bookmarkStart w:id="21" w:name="niqr"/>
    <w:p>
      <w:pPr>
        <w:pStyle w:val="Heading5"/>
      </w:pPr>
      <w:r>
        <w:t xml:space="preserve">2.2.5.2 nIQR</w:t>
      </w:r>
    </w:p>
    <w:p>
      <w:pPr>
        <w:pStyle w:val="FirstParagraph"/>
      </w:pPr>
      <w:r>
        <w:t xml:space="preserve">Como alternativa robusta de dispersion podra emplearse el rango intercuartil normalizado, definido por:</w:t>
      </w:r>
    </w:p>
    <w:p>
      <w:pPr>
        <w:pStyle w:val="BodyText"/>
      </w:pPr>
      <m:oMathPara>
        <m:oMathParaPr>
          <m:jc m:val="center"/>
        </m:oMathParaPr>
        <m:oMath>
          <m:r>
            <m:rPr>
              <m:sty m:val="p"/>
            </m:rPr>
            <m:t>nIQR</m:t>
          </m:r>
          <m:r>
            <m:rPr>
              <m:sty m:val="p"/>
            </m:rPr>
            <m:t>=</m:t>
          </m:r>
          <m:r>
            <m:t>0.7413</m:t>
          </m:r>
          <m:r>
            <m:rPr>
              <m:sty m:val="p"/>
            </m:rPr>
            <m:t>×</m:t>
          </m:r>
          <m:r>
            <m:rPr>
              <m:sty m:val="p"/>
            </m:rPr>
            <m:t>(</m:t>
          </m:r>
          <m:sSub>
            <m:e>
              <m:r>
                <m:t>Q</m:t>
              </m:r>
            </m:e>
            <m:sub>
              <m:r>
                <m:t>3</m:t>
              </m:r>
            </m:sub>
          </m:sSub>
          <m:r>
            <m:rPr>
              <m:sty m:val="p"/>
            </m:rPr>
            <m:t>−</m:t>
          </m:r>
          <m:sSub>
            <m:e>
              <m:r>
                <m:t>Q</m:t>
              </m:r>
            </m:e>
            <m:sub>
              <m:r>
                <m:t>1</m:t>
              </m:r>
            </m:sub>
          </m:sSub>
          <m:r>
            <m:rPr>
              <m:sty m:val="p"/>
            </m:rPr>
            <m:t>)</m:t>
          </m:r>
        </m:oMath>
      </m:oMathPara>
    </w:p>
    <w:p>
      <w:pPr>
        <w:pStyle w:val="FirstParagraph"/>
      </w:pPr>
      <w:r>
        <w:t xml:space="preserve">Este estimador es util cuando se requiere una medida robusta basada en cuartiles y cuando conviene contrastar el comportamiento de MADe frente a distribuciones no estrictamente normales.</w:t>
      </w:r>
    </w:p>
    <w:bookmarkEnd w:id="21"/>
    <w:bookmarkEnd w:id="22"/>
    <w:bookmarkStart w:id="28" w:name="Xd3f49a5628795b6dca19f871ed0525bcf82e977"/>
    <w:p>
      <w:pPr>
        <w:pStyle w:val="Heading4"/>
      </w:pPr>
      <w:r>
        <w:t xml:space="preserve">2.2.6 Algoritmo A para estimacion robusta de ubicacion y dispersion</w:t>
      </w:r>
    </w:p>
    <w:bookmarkStart w:id="23" w:name="descripcion-general"/>
    <w:p>
      <w:pPr>
        <w:pStyle w:val="Heading5"/>
      </w:pPr>
      <w:r>
        <w:t xml:space="preserve">2.2.6.1 Descripcion general</w:t>
      </w:r>
    </w:p>
    <w:p>
      <w:pPr>
        <w:pStyle w:val="FirstParagraph"/>
      </w:pPr>
      <w:r>
        <w:t xml:space="preserve">El Algoritmo A constituye el procedimiento robusto iterativo de referencia para obtener un valor asignado de consenso y una desviacion estandar robusta de evaluacion cuando la distribucion de resultados puede estar afectada por valores atipicos. El metodo opera mediante winsorizacion iterativa, restringiendo los valores extremos a limites calculados a partir de la dispersion robusta de la iteracion vigente.</w:t>
      </w:r>
    </w:p>
    <w:bookmarkEnd w:id="23"/>
    <w:bookmarkStart w:id="24" w:name="inicializacion"/>
    <w:p>
      <w:pPr>
        <w:pStyle w:val="Heading5"/>
      </w:pPr>
      <w:r>
        <w:t xml:space="preserve">2.2.6.2 Inicializacion</w:t>
      </w:r>
    </w:p>
    <w:p>
      <w:pPr>
        <w:pStyle w:val="FirstParagraph"/>
      </w:pPr>
      <w:r>
        <w:t xml:space="preserve">La inicializacion del algoritmo se realizara calculando en primer termino la mediana de los resultados validos:</w:t>
      </w:r>
    </w:p>
    <w:p>
      <w:pPr>
        <w:pStyle w:val="BodyText"/>
      </w:pPr>
      <m:oMathPara>
        <m:oMathParaPr>
          <m:jc m:val="center"/>
        </m:oMathParaPr>
        <m:oMath>
          <m:sSubSup>
            <m:e>
              <m:r>
                <m:t>x</m:t>
              </m:r>
            </m:e>
            <m:sub>
              <m:r>
                <m:t>0</m:t>
              </m:r>
            </m:sub>
            <m:sup>
              <m:r>
                <m:rPr>
                  <m:sty m:val="p"/>
                </m:rPr>
                <m:t>*</m:t>
              </m:r>
            </m:sup>
          </m:sSubSup>
          <m:r>
            <m:rPr>
              <m:sty m:val="p"/>
            </m:rPr>
            <m:t>=</m:t>
          </m:r>
          <m:r>
            <m:rPr>
              <m:sty m:val="p"/>
            </m:rPr>
            <m:t>mediana</m:t>
          </m:r>
          <m:r>
            <m:rPr>
              <m:sty m:val="p"/>
            </m:rPr>
            <m:t>(</m:t>
          </m:r>
          <m:sSub>
            <m:e>
              <m:r>
                <m:t>x</m:t>
              </m:r>
            </m:e>
            <m:sub>
              <m:r>
                <m:t>i</m:t>
              </m:r>
            </m:sub>
          </m:sSub>
          <m:r>
            <m:rPr>
              <m:sty m:val="p"/>
            </m:rPr>
            <m:t>)</m:t>
          </m:r>
        </m:oMath>
      </m:oMathPara>
    </w:p>
    <w:p>
      <w:pPr>
        <w:pStyle w:val="FirstParagraph"/>
      </w:pPr>
      <w:r>
        <w:t xml:space="preserve">La estimacion inicial de dispersion se obtendra mediante MADe:</w:t>
      </w:r>
    </w:p>
    <w:p>
      <w:pPr>
        <w:pStyle w:val="BodyText"/>
      </w:pPr>
      <m:oMathPara>
        <m:oMathParaPr>
          <m:jc m:val="center"/>
        </m:oMathParaPr>
        <m:oMath>
          <m:sSubSup>
            <m:e>
              <m:r>
                <m:t>s</m:t>
              </m:r>
            </m:e>
            <m:sub>
              <m:r>
                <m:t>0</m:t>
              </m:r>
            </m:sub>
            <m:sup>
              <m:r>
                <m:rPr>
                  <m:sty m:val="p"/>
                </m:rPr>
                <m:t>*</m:t>
              </m:r>
            </m:sup>
          </m:sSubSup>
          <m:r>
            <m:rPr>
              <m:sty m:val="p"/>
            </m:rPr>
            <m:t>=</m:t>
          </m:r>
          <m:r>
            <m:t>1.483</m:t>
          </m:r>
          <m:r>
            <m:rPr>
              <m:sty m:val="p"/>
            </m:rPr>
            <m:t>×</m:t>
          </m:r>
          <m:r>
            <m:rPr>
              <m:sty m:val="p"/>
            </m:rPr>
            <m:t>mediana</m:t>
          </m:r>
          <m:d>
            <m:dPr>
              <m:begChr m:val="("/>
              <m:sepChr m:val=""/>
              <m:endChr m:val=")"/>
              <m:grow/>
            </m:dPr>
            <m:e>
              <m:d>
                <m:dPr>
                  <m:begChr m:val="|"/>
                  <m:sepChr m:val=""/>
                  <m:endChr m:val="|"/>
                  <m:grow/>
                </m:dPr>
                <m:e>
                  <m:sSub>
                    <m:e>
                      <m:r>
                        <m:t>x</m:t>
                      </m:r>
                    </m:e>
                    <m:sub>
                      <m:r>
                        <m:t>i</m:t>
                      </m:r>
                    </m:sub>
                  </m:sSub>
                  <m:r>
                    <m:rPr>
                      <m:sty m:val="p"/>
                    </m:rPr>
                    <m:t>−</m:t>
                  </m:r>
                  <m:sSubSup>
                    <m:e>
                      <m:r>
                        <m:t>x</m:t>
                      </m:r>
                    </m:e>
                    <m:sub>
                      <m:r>
                        <m:t>0</m:t>
                      </m:r>
                    </m:sub>
                    <m:sup>
                      <m:r>
                        <m:rPr>
                          <m:sty m:val="p"/>
                        </m:rPr>
                        <m:t>*</m:t>
                      </m:r>
                    </m:sup>
                  </m:sSubSup>
                </m:e>
              </m:d>
            </m:e>
          </m:d>
        </m:oMath>
      </m:oMathPara>
    </w:p>
    <w:p>
      <w:pPr>
        <w:pStyle w:val="FirstParagraph"/>
      </w:pPr>
      <w:r>
        <w:t xml:space="preserve">Si la dispersion inicial no es finita o es practicamente nula, se utilizara la desviacion estandar clasica como mecanismo de respaldo. Si la dispersion resultante continua siendo nula o no finita, se concluira que el conjunto de datos no presenta variabilidad suficiente para una aplicacion informativa del algoritmo.</w:t>
      </w:r>
    </w:p>
    <w:bookmarkEnd w:id="24"/>
    <w:bookmarkStart w:id="25" w:name="paso-iterativo-de-winsorizacion"/>
    <w:p>
      <w:pPr>
        <w:pStyle w:val="Heading5"/>
      </w:pPr>
      <w:r>
        <w:t xml:space="preserve">2.2.6.3 Paso iterativo de winsorizacion</w:t>
      </w:r>
    </w:p>
    <w:p>
      <w:pPr>
        <w:pStyle w:val="FirstParagraph"/>
      </w:pPr>
      <w:r>
        <w:t xml:space="preserve">En cada iteracion</w:t>
      </w:r>
      <w:r>
        <w:t xml:space="preserve"> </w:t>
      </w:r>
      <m:oMath>
        <m:r>
          <m:t>k</m:t>
        </m:r>
      </m:oMath>
      <w:r>
        <w:t xml:space="preserve">, se calculara el limite de winsorizacion</w:t>
      </w:r>
      <w:r>
        <w:t xml:space="preserve"> </w:t>
      </w:r>
      <m:oMath>
        <m:sSub>
          <m:e>
            <m:r>
              <m:t>δ</m:t>
            </m:r>
          </m:e>
          <m:sub>
            <m:r>
              <m:t>k</m:t>
            </m:r>
          </m:sub>
        </m:sSub>
      </m:oMath>
      <w:r>
        <w:t xml:space="preserve"> </w:t>
      </w:r>
      <w:r>
        <w:t xml:space="preserve">mediante:</w:t>
      </w:r>
    </w:p>
    <w:p>
      <w:pPr>
        <w:pStyle w:val="BodyText"/>
      </w:pPr>
      <m:oMathPara>
        <m:oMathParaPr>
          <m:jc m:val="center"/>
        </m:oMathParaPr>
        <m:oMath>
          <m:sSub>
            <m:e>
              <m:r>
                <m:t>δ</m:t>
              </m:r>
            </m:e>
            <m:sub>
              <m:r>
                <m:t>k</m:t>
              </m:r>
            </m:sub>
          </m:sSub>
          <m:r>
            <m:rPr>
              <m:sty m:val="p"/>
            </m:rPr>
            <m:t>=</m:t>
          </m:r>
          <m:r>
            <m:t>1.5</m:t>
          </m:r>
          <m:r>
            <m:rPr>
              <m:sty m:val="p"/>
            </m:rPr>
            <m:t>×</m:t>
          </m:r>
          <m:sSubSup>
            <m:e>
              <m:r>
                <m:t>s</m:t>
              </m:r>
            </m:e>
            <m:sub>
              <m:r>
                <m:t>k</m:t>
              </m:r>
            </m:sub>
            <m:sup>
              <m:r>
                <m:rPr>
                  <m:sty m:val="p"/>
                </m:rPr>
                <m:t>*</m:t>
              </m:r>
            </m:sup>
          </m:sSubSup>
        </m:oMath>
      </m:oMathPara>
    </w:p>
    <w:p>
      <w:pPr>
        <w:pStyle w:val="FirstParagraph"/>
      </w:pPr>
      <w:r>
        <w:t xml:space="preserve">Con base en ese limite, cada observacion se ajustara conforme a la regla:</w:t>
      </w:r>
    </w:p>
    <w:p>
      <w:pPr>
        <w:pStyle w:val="BodyText"/>
      </w:pPr>
      <m:oMathPara>
        <m:oMathParaPr>
          <m:jc m:val="center"/>
        </m:oMathParaPr>
        <m:oMath>
          <m:sSubSup>
            <m:e>
              <m:r>
                <m:t>x</m:t>
              </m:r>
            </m:e>
            <m:sub>
              <m:r>
                <m:t>i</m:t>
              </m:r>
              <m:r>
                <m:rPr>
                  <m:sty m:val="p"/>
                </m:rPr>
                <m:t>,</m:t>
              </m:r>
              <m:r>
                <m:t>k</m:t>
              </m:r>
            </m:sub>
            <m:sup>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x</m:t>
                        </m:r>
                      </m:e>
                      <m:sub>
                        <m:r>
                          <m:t>k</m:t>
                        </m:r>
                      </m:sub>
                      <m:sup>
                        <m:r>
                          <m:rPr>
                            <m:sty m:val="p"/>
                          </m:rPr>
                          <m:t>*</m:t>
                        </m:r>
                      </m:sup>
                    </m:sSubSup>
                    <m:r>
                      <m:rPr>
                        <m:sty m:val="p"/>
                      </m:rPr>
                      <m:t>−</m:t>
                    </m:r>
                    <m:sSub>
                      <m:e>
                        <m:r>
                          <m:t>δ</m:t>
                        </m:r>
                      </m:e>
                      <m:sub>
                        <m:r>
                          <m:t>k</m:t>
                        </m:r>
                      </m:sub>
                    </m:sSub>
                  </m:e>
                  <m:e>
                    <m:r>
                      <m:rPr>
                        <m:nor/>
                        <m:sty m:val="p"/>
                      </m:rPr>
                      <m:t>si </m:t>
                    </m:r>
                    <m:sSub>
                      <m:e>
                        <m:r>
                          <m:t>x</m:t>
                        </m:r>
                      </m:e>
                      <m:sub>
                        <m:r>
                          <m:t>i</m:t>
                        </m:r>
                      </m:sub>
                    </m:sSub>
                    <m:r>
                      <m:rPr>
                        <m:sty m:val="p"/>
                      </m:rPr>
                      <m:t>&lt;</m:t>
                    </m:r>
                    <m:sSubSup>
                      <m:e>
                        <m:r>
                          <m:t>x</m:t>
                        </m:r>
                      </m:e>
                      <m:sub>
                        <m:r>
                          <m:t>k</m:t>
                        </m:r>
                      </m:sub>
                      <m:sup>
                        <m:r>
                          <m:rPr>
                            <m:sty m:val="p"/>
                          </m:rPr>
                          <m:t>*</m:t>
                        </m:r>
                      </m:sup>
                    </m:sSubSup>
                    <m:r>
                      <m:rPr>
                        <m:sty m:val="p"/>
                      </m:rPr>
                      <m:t>−</m:t>
                    </m:r>
                    <m:sSub>
                      <m:e>
                        <m:r>
                          <m:t>δ</m:t>
                        </m:r>
                      </m:e>
                      <m:sub>
                        <m:r>
                          <m:t>k</m:t>
                        </m:r>
                      </m:sub>
                    </m:sSub>
                  </m:e>
                </m:mr>
                <m:mr>
                  <m:e>
                    <m:sSub>
                      <m:e>
                        <m:r>
                          <m:t>x</m:t>
                        </m:r>
                      </m:e>
                      <m:sub>
                        <m:r>
                          <m:t>i</m:t>
                        </m:r>
                      </m:sub>
                    </m:sSub>
                  </m:e>
                  <m:e>
                    <m:r>
                      <m:rPr>
                        <m:nor/>
                        <m:sty m:val="p"/>
                      </m:rPr>
                      <m:t>si </m:t>
                    </m:r>
                    <m:sSubSup>
                      <m:e>
                        <m:r>
                          <m:t>x</m:t>
                        </m:r>
                      </m:e>
                      <m:sub>
                        <m:r>
                          <m:t>k</m:t>
                        </m:r>
                      </m:sub>
                      <m:sup>
                        <m:r>
                          <m:rPr>
                            <m:sty m:val="p"/>
                          </m:rPr>
                          <m:t>*</m:t>
                        </m:r>
                      </m:sup>
                    </m:sSubSup>
                    <m:r>
                      <m:rPr>
                        <m:sty m:val="p"/>
                      </m:rPr>
                      <m:t>−</m:t>
                    </m:r>
                    <m:sSub>
                      <m:e>
                        <m:r>
                          <m:t>δ</m:t>
                        </m:r>
                      </m:e>
                      <m:sub>
                        <m:r>
                          <m:t>k</m:t>
                        </m:r>
                      </m:sub>
                    </m:sSub>
                    <m:r>
                      <m:rPr>
                        <m:sty m:val="p"/>
                      </m:rPr>
                      <m:t>≤</m:t>
                    </m:r>
                    <m:sSub>
                      <m:e>
                        <m:r>
                          <m:t>x</m:t>
                        </m:r>
                      </m:e>
                      <m:sub>
                        <m:r>
                          <m:t>i</m:t>
                        </m:r>
                      </m:sub>
                    </m:sSub>
                    <m:r>
                      <m:rPr>
                        <m:sty m:val="p"/>
                      </m:rPr>
                      <m:t>≤</m:t>
                    </m:r>
                    <m:sSubSup>
                      <m:e>
                        <m:r>
                          <m:t>x</m:t>
                        </m:r>
                      </m:e>
                      <m:sub>
                        <m:r>
                          <m:t>k</m:t>
                        </m:r>
                      </m:sub>
                      <m:sup>
                        <m:r>
                          <m:rPr>
                            <m:sty m:val="p"/>
                          </m:rPr>
                          <m:t>*</m:t>
                        </m:r>
                      </m:sup>
                    </m:sSubSup>
                    <m:r>
                      <m:rPr>
                        <m:sty m:val="p"/>
                      </m:rPr>
                      <m:t>+</m:t>
                    </m:r>
                    <m:sSub>
                      <m:e>
                        <m:r>
                          <m:t>δ</m:t>
                        </m:r>
                      </m:e>
                      <m:sub>
                        <m:r>
                          <m:t>k</m:t>
                        </m:r>
                      </m:sub>
                    </m:sSub>
                  </m:e>
                </m:mr>
                <m:mr>
                  <m:e>
                    <m:sSubSup>
                      <m:e>
                        <m:r>
                          <m:t>x</m:t>
                        </m:r>
                      </m:e>
                      <m:sub>
                        <m:r>
                          <m:t>k</m:t>
                        </m:r>
                      </m:sub>
                      <m:sup>
                        <m:r>
                          <m:rPr>
                            <m:sty m:val="p"/>
                          </m:rPr>
                          <m:t>*</m:t>
                        </m:r>
                      </m:sup>
                    </m:sSubSup>
                    <m:r>
                      <m:rPr>
                        <m:sty m:val="p"/>
                      </m:rPr>
                      <m:t>+</m:t>
                    </m:r>
                    <m:sSub>
                      <m:e>
                        <m:r>
                          <m:t>δ</m:t>
                        </m:r>
                      </m:e>
                      <m:sub>
                        <m:r>
                          <m:t>k</m:t>
                        </m:r>
                      </m:sub>
                    </m:sSub>
                  </m:e>
                  <m:e>
                    <m:r>
                      <m:rPr>
                        <m:nor/>
                        <m:sty m:val="p"/>
                      </m:rPr>
                      <m:t>si </m:t>
                    </m:r>
                    <m:sSub>
                      <m:e>
                        <m:r>
                          <m:t>x</m:t>
                        </m:r>
                      </m:e>
                      <m:sub>
                        <m:r>
                          <m:t>i</m:t>
                        </m:r>
                      </m:sub>
                    </m:sSub>
                    <m:r>
                      <m:rPr>
                        <m:sty m:val="p"/>
                      </m:rPr>
                      <m:t>&gt;</m:t>
                    </m:r>
                    <m:sSubSup>
                      <m:e>
                        <m:r>
                          <m:t>x</m:t>
                        </m:r>
                      </m:e>
                      <m:sub>
                        <m:r>
                          <m:t>k</m:t>
                        </m:r>
                      </m:sub>
                      <m:sup>
                        <m:r>
                          <m:rPr>
                            <m:sty m:val="p"/>
                          </m:rPr>
                          <m:t>*</m:t>
                        </m:r>
                      </m:sup>
                    </m:sSubSup>
                    <m:r>
                      <m:rPr>
                        <m:sty m:val="p"/>
                      </m:rPr>
                      <m:t>+</m:t>
                    </m:r>
                    <m:sSub>
                      <m:e>
                        <m:r>
                          <m:t>δ</m:t>
                        </m:r>
                      </m:e>
                      <m:sub>
                        <m:r>
                          <m:t>k</m:t>
                        </m:r>
                      </m:sub>
                    </m:sSub>
                  </m:e>
                </m:mr>
              </m:m>
            </m:e>
          </m:d>
        </m:oMath>
      </m:oMathPara>
    </w:p>
    <w:p>
      <w:pPr>
        <w:pStyle w:val="FirstParagraph"/>
      </w:pPr>
      <w:r>
        <w:t xml:space="preserve">La actualizacion de la ubicacion robusta se efectuara mediante la media aritmetica de los valores winsorizados:</w:t>
      </w:r>
    </w:p>
    <w:p>
      <w:pPr>
        <w:pStyle w:val="BodyText"/>
      </w:pPr>
      <m:oMathPara>
        <m:oMathParaPr>
          <m:jc m:val="center"/>
        </m:oMathParaPr>
        <m:oMath>
          <m:sSubSup>
            <m:e>
              <m:r>
                <m:t>x</m:t>
              </m:r>
            </m:e>
            <m:sub>
              <m:r>
                <m:t>k</m:t>
              </m:r>
              <m:r>
                <m:rPr>
                  <m:sty m:val="p"/>
                </m:rPr>
                <m:t>+</m:t>
              </m:r>
              <m:r>
                <m:t>1</m:t>
              </m:r>
            </m:sub>
            <m:sup>
              <m:r>
                <m:rPr>
                  <m:sty m:val="p"/>
                </m:rPr>
                <m:t>*</m:t>
              </m:r>
            </m:sup>
          </m:sSubSup>
          <m:r>
            <m:rPr>
              <m:sty m:val="p"/>
            </m:rPr>
            <m:t>=</m:t>
          </m:r>
          <m:f>
            <m:fPr>
              <m:type m:val="bar"/>
            </m:fPr>
            <m:num>
              <m:r>
                <m:t>1</m:t>
              </m:r>
            </m:num>
            <m:den>
              <m:r>
                <m:t>p</m:t>
              </m:r>
            </m:den>
          </m:f>
          <m:nary>
            <m:naryPr>
              <m:chr m:val="∑"/>
              <m:limLoc m:val="undOvr"/>
              <m:subHide m:val="off"/>
              <m:supHide m:val="off"/>
            </m:naryPr>
            <m:sub>
              <m:r>
                <m:t>i</m:t>
              </m:r>
              <m:r>
                <m:rPr>
                  <m:sty m:val="p"/>
                </m:rPr>
                <m:t>=</m:t>
              </m:r>
              <m:r>
                <m:t>1</m:t>
              </m:r>
            </m:sub>
            <m:sup>
              <m:r>
                <m:t>p</m:t>
              </m:r>
            </m:sup>
            <m:e>
              <m:sSubSup>
                <m:e>
                  <m:r>
                    <m:t>x</m:t>
                  </m:r>
                </m:e>
                <m:sub>
                  <m:r>
                    <m:t>i</m:t>
                  </m:r>
                  <m:r>
                    <m:rPr>
                      <m:sty m:val="p"/>
                    </m:rPr>
                    <m:t>,</m:t>
                  </m:r>
                  <m:r>
                    <m:t>k</m:t>
                  </m:r>
                </m:sub>
                <m:sup>
                  <m:r>
                    <m:rPr>
                      <m:sty m:val="p"/>
                    </m:rPr>
                    <m:t>*</m:t>
                  </m:r>
                </m:sup>
              </m:sSubSup>
            </m:e>
          </m:nary>
        </m:oMath>
      </m:oMathPara>
    </w:p>
    <w:p>
      <w:pPr>
        <w:pStyle w:val="FirstParagraph"/>
      </w:pPr>
      <w:r>
        <w:t xml:space="preserve">La actualizacion de la dispersion robusta se efectuara mediante:</w:t>
      </w:r>
    </w:p>
    <w:p>
      <w:pPr>
        <w:pStyle w:val="BodyText"/>
      </w:pPr>
      <m:oMathPara>
        <m:oMathParaPr>
          <m:jc m:val="center"/>
        </m:oMathParaPr>
        <m:oMath>
          <m:sSubSup>
            <m:e>
              <m:r>
                <m:t>s</m:t>
              </m:r>
            </m:e>
            <m:sub>
              <m:r>
                <m:t>k</m:t>
              </m:r>
              <m:r>
                <m:rPr>
                  <m:sty m:val="p"/>
                </m:rPr>
                <m:t>+</m:t>
              </m:r>
              <m:r>
                <m:t>1</m:t>
              </m:r>
            </m:sub>
            <m:sup>
              <m:r>
                <m:rPr>
                  <m:sty m:val="p"/>
                </m:rPr>
                <m:t>*</m:t>
              </m:r>
            </m:sup>
          </m:sSubSup>
          <m:r>
            <m:rPr>
              <m:sty m:val="p"/>
            </m:rPr>
            <m:t>=</m:t>
          </m:r>
          <m:r>
            <m:t>1.134</m:t>
          </m:r>
          <m:r>
            <m:rPr>
              <m:sty m:val="p"/>
            </m:rPr>
            <m:t>×</m:t>
          </m:r>
          <m:rad>
            <m:radPr>
              <m:degHide m:val="on"/>
            </m:radPr>
            <m:deg/>
            <m:e>
              <m:f>
                <m:fPr>
                  <m:type m:val="bar"/>
                </m:fPr>
                <m:num>
                  <m:r>
                    <m:t>1</m:t>
                  </m:r>
                </m:num>
                <m:den>
                  <m:r>
                    <m:t>p</m:t>
                  </m:r>
                  <m:r>
                    <m:rPr>
                      <m:sty m:val="p"/>
                    </m:rPr>
                    <m:t>−</m:t>
                  </m:r>
                  <m:r>
                    <m:t>1</m:t>
                  </m:r>
                </m:den>
              </m:f>
              <m:nary>
                <m:naryPr>
                  <m:chr m:val="∑"/>
                  <m:limLoc m:val="undOvr"/>
                  <m:subHide m:val="off"/>
                  <m:supHide m:val="off"/>
                </m:naryPr>
                <m:sub>
                  <m:r>
                    <m:t>i</m:t>
                  </m:r>
                  <m:r>
                    <m:rPr>
                      <m:sty m:val="p"/>
                    </m:rPr>
                    <m:t>=</m:t>
                  </m:r>
                  <m:r>
                    <m:t>1</m:t>
                  </m:r>
                </m:sub>
                <m:sup>
                  <m:r>
                    <m:t>p</m:t>
                  </m:r>
                </m:sup>
                <m:e>
                  <m:sSup>
                    <m:e>
                      <m:d>
                        <m:dPr>
                          <m:begChr m:val="("/>
                          <m:sepChr m:val=""/>
                          <m:endChr m:val=")"/>
                          <m:grow/>
                        </m:dPr>
                        <m:e>
                          <m:sSubSup>
                            <m:e>
                              <m:r>
                                <m:t>x</m:t>
                              </m:r>
                            </m:e>
                            <m:sub>
                              <m:r>
                                <m:t>i</m:t>
                              </m:r>
                              <m:r>
                                <m:rPr>
                                  <m:sty m:val="p"/>
                                </m:rPr>
                                <m:t>,</m:t>
                              </m:r>
                              <m:r>
                                <m:t>k</m:t>
                              </m:r>
                            </m:sub>
                            <m:sup>
                              <m:r>
                                <m:rPr>
                                  <m:sty m:val="p"/>
                                </m:rPr>
                                <m:t>*</m:t>
                              </m:r>
                            </m:sup>
                          </m:sSubSup>
                          <m:r>
                            <m:rPr>
                              <m:sty m:val="p"/>
                            </m:rPr>
                            <m:t>−</m:t>
                          </m:r>
                          <m:sSubSup>
                            <m:e>
                              <m:r>
                                <m:t>x</m:t>
                              </m:r>
                            </m:e>
                            <m:sub>
                              <m:r>
                                <m:t>k</m:t>
                              </m:r>
                              <m:r>
                                <m:rPr>
                                  <m:sty m:val="p"/>
                                </m:rPr>
                                <m:t>+</m:t>
                              </m:r>
                              <m:r>
                                <m:t>1</m:t>
                              </m:r>
                            </m:sub>
                            <m:sup>
                              <m:r>
                                <m:rPr>
                                  <m:sty m:val="p"/>
                                </m:rPr>
                                <m:t>*</m:t>
                              </m:r>
                            </m:sup>
                          </m:sSubSup>
                        </m:e>
                      </m:d>
                    </m:e>
                    <m:sup>
                      <m:r>
                        <m:t>2</m:t>
                      </m:r>
                    </m:sup>
                  </m:sSup>
                </m:e>
              </m:nary>
            </m:e>
          </m:rad>
        </m:oMath>
      </m:oMathPara>
    </w:p>
    <w:p>
      <w:pPr>
        <w:pStyle w:val="FirstParagraph"/>
      </w:pPr>
      <w:r>
        <w:t xml:space="preserve">El factor 1.134 es obligatorio dentro de este procedimiento y corrige el sesgo introducido por la winsorizacion al truncar la distribucion de resultados.</w:t>
      </w:r>
    </w:p>
    <w:bookmarkEnd w:id="25"/>
    <w:bookmarkStart w:id="26" w:name="criterio-de-convergencia"/>
    <w:p>
      <w:pPr>
        <w:pStyle w:val="Heading5"/>
      </w:pPr>
      <w:r>
        <w:t xml:space="preserve">2.2.6.4 Criterio de convergencia</w:t>
      </w:r>
    </w:p>
    <w:p>
      <w:pPr>
        <w:pStyle w:val="FirstParagraph"/>
      </w:pPr>
      <w:r>
        <w:t xml:space="preserve">La convergencia se declarara cuando el cambio absoluto maximo entre iteraciones consecutivas para</w:t>
      </w:r>
      <w:r>
        <w:t xml:space="preserve"> </w:t>
      </w:r>
      <m:oMath>
        <m:sSup>
          <m:e>
            <m:r>
              <m:t>x</m:t>
            </m:r>
          </m:e>
          <m:sup>
            <m:r>
              <m:rPr>
                <m:sty m:val="p"/>
              </m:rPr>
              <m:t>*</m:t>
            </m:r>
          </m:sup>
        </m:sSup>
      </m:oMath>
      <w:r>
        <w:t xml:space="preserve"> </w:t>
      </w:r>
      <w:r>
        <w:t xml:space="preserve">y</w:t>
      </w:r>
      <w:r>
        <w:t xml:space="preserve"> </w:t>
      </w:r>
      <m:oMath>
        <m:sSup>
          <m:e>
            <m:r>
              <m:t>s</m:t>
            </m:r>
          </m:e>
          <m:sup>
            <m:r>
              <m:rPr>
                <m:sty m:val="p"/>
              </m:rPr>
              <m:t>*</m:t>
            </m:r>
          </m:sup>
        </m:sSup>
      </m:oMath>
      <w:r>
        <w:t xml:space="preserve"> </w:t>
      </w:r>
      <w:r>
        <w:t xml:space="preserve">sea menor que</w:t>
      </w:r>
      <w:r>
        <w:t xml:space="preserve"> </w:t>
      </w:r>
      <m:oMath>
        <m:r>
          <m:t>1</m:t>
        </m:r>
        <m:r>
          <m:rPr>
            <m:sty m:val="p"/>
          </m:rPr>
          <m:t>×</m:t>
        </m:r>
        <m:sSup>
          <m:e>
            <m:r>
              <m:t>10</m:t>
            </m:r>
          </m:e>
          <m:sup>
            <m:r>
              <m:rPr>
                <m:sty m:val="p"/>
              </m:rPr>
              <m:t>−</m:t>
            </m:r>
            <m:r>
              <m:t>4</m:t>
            </m:r>
          </m:sup>
        </m:sSup>
      </m:oMath>
      <w:r>
        <w:t xml:space="preserve">, de acuerdo con:</w:t>
      </w:r>
    </w:p>
    <w:p>
      <w:pPr>
        <w:pStyle w:val="BodyText"/>
      </w:pPr>
      <m:oMathPara>
        <m:oMathParaPr>
          <m:jc m:val="center"/>
        </m:oMathParaPr>
        <m:oMath>
          <m:r>
            <m:rPr>
              <m:sty m:val="p"/>
            </m:rPr>
            <m:t>max</m:t>
          </m:r>
          <m:d>
            <m:dPr>
              <m:begChr m:val="("/>
              <m:sepChr m:val=""/>
              <m:endChr m:val=")"/>
              <m:grow/>
            </m:dPr>
            <m:e>
              <m:d>
                <m:dPr>
                  <m:begChr m:val="|"/>
                  <m:sepChr m:val=""/>
                  <m:endChr m:val="|"/>
                  <m:grow/>
                </m:dPr>
                <m:e>
                  <m:r>
                    <m:rPr>
                      <m:sty m:val="p"/>
                    </m:rPr>
                    <m:t>Δ</m:t>
                  </m:r>
                  <m:sSup>
                    <m:e>
                      <m:r>
                        <m:t>x</m:t>
                      </m:r>
                    </m:e>
                    <m:sup>
                      <m:r>
                        <m:rPr>
                          <m:sty m:val="p"/>
                        </m:rPr>
                        <m:t>*</m:t>
                      </m:r>
                    </m:sup>
                  </m:sSup>
                </m:e>
              </m:d>
              <m:r>
                <m:rPr>
                  <m:sty m:val="p"/>
                </m:rPr>
                <m:t>,</m:t>
              </m:r>
              <m:d>
                <m:dPr>
                  <m:begChr m:val="|"/>
                  <m:sepChr m:val=""/>
                  <m:endChr m:val="|"/>
                  <m:grow/>
                </m:dPr>
                <m:e>
                  <m:r>
                    <m:rPr>
                      <m:sty m:val="p"/>
                    </m:rPr>
                    <m:t>Δ</m:t>
                  </m:r>
                  <m:sSup>
                    <m:e>
                      <m:r>
                        <m:t>s</m:t>
                      </m:r>
                    </m:e>
                    <m:sup>
                      <m:r>
                        <m:rPr>
                          <m:sty m:val="p"/>
                        </m:rPr>
                        <m:t>*</m:t>
                      </m:r>
                    </m:sup>
                  </m:sSup>
                </m:e>
              </m:d>
            </m:e>
          </m:d>
          <m:r>
            <m:rPr>
              <m:sty m:val="p"/>
            </m:rPr>
            <m:t>&lt;</m:t>
          </m:r>
          <m:r>
            <m:t>1</m:t>
          </m:r>
          <m:r>
            <m:rPr>
              <m:sty m:val="p"/>
            </m:rPr>
            <m:t>×</m:t>
          </m:r>
          <m:sSup>
            <m:e>
              <m:r>
                <m:t>10</m:t>
              </m:r>
            </m:e>
            <m:sup>
              <m:r>
                <m:rPr>
                  <m:sty m:val="p"/>
                </m:rPr>
                <m:t>−</m:t>
              </m:r>
              <m:r>
                <m:t>4</m:t>
              </m:r>
            </m:sup>
          </m:sSup>
        </m:oMath>
      </m:oMathPara>
    </w:p>
    <w:p>
      <w:pPr>
        <w:pStyle w:val="FirstParagraph"/>
      </w:pPr>
      <w:r>
        <w:t xml:space="preserve">El proceso iterativo tendra un maximo de 50 iteraciones. Si dicho limite se alcanza sin satisfacer el criterio anterior, el resultado debera reportarse como no convergente y quedara sujeto a revision tecnica. Aunque la funcion base</w:t>
      </w:r>
      <w:r>
        <w:t xml:space="preserve"> </w:t>
      </w:r>
      <w:r>
        <w:rPr>
          <w:rStyle w:val="VerbatimChar"/>
        </w:rPr>
        <w:t xml:space="preserve">run_algorithm_a()</w:t>
      </w:r>
      <w:r>
        <w:t xml:space="preserve"> </w:t>
      </w:r>
      <w:r>
        <w:t xml:space="preserve">admite una tolerancia por defecto de</w:t>
      </w:r>
      <w:r>
        <w:t xml:space="preserve"> </w:t>
      </w:r>
      <m:oMath>
        <m:r>
          <m:t>1</m:t>
        </m:r>
        <m:r>
          <m:rPr>
            <m:sty m:val="p"/>
          </m:rPr>
          <m:t>×</m:t>
        </m:r>
        <m:sSup>
          <m:e>
            <m:r>
              <m:t>10</m:t>
            </m:r>
          </m:e>
          <m:sup>
            <m:r>
              <m:rPr>
                <m:sty m:val="p"/>
              </m:rPr>
              <m:t>−</m:t>
            </m:r>
            <m:r>
              <m:t>6</m:t>
            </m:r>
          </m:sup>
        </m:sSup>
      </m:oMath>
      <w:r>
        <w:t xml:space="preserve">, para efectos del presente procedimiento operativo se adopta una tolerancia institucional de</w:t>
      </w:r>
      <w:r>
        <w:t xml:space="preserve"> </w:t>
      </w:r>
      <m:oMath>
        <m:r>
          <m:t>1</m:t>
        </m:r>
        <m:r>
          <m:rPr>
            <m:sty m:val="p"/>
          </m:rPr>
          <m:t>×</m:t>
        </m:r>
        <m:sSup>
          <m:e>
            <m:r>
              <m:t>10</m:t>
            </m:r>
          </m:e>
          <m:sup>
            <m:r>
              <m:rPr>
                <m:sty m:val="p"/>
              </m:rPr>
              <m:t>−</m:t>
            </m:r>
            <m:r>
              <m:t>4</m:t>
            </m:r>
          </m:sup>
        </m:sSup>
      </m:oMath>
      <w:r>
        <w:t xml:space="preserve">.</w:t>
      </w:r>
    </w:p>
    <w:bookmarkEnd w:id="26"/>
    <w:bookmarkStart w:id="27" w:name="salidas-del-algoritmo"/>
    <w:p>
      <w:pPr>
        <w:pStyle w:val="Heading5"/>
      </w:pPr>
      <w:r>
        <w:t xml:space="preserve">2.2.6.5 Salidas del algoritmo</w:t>
      </w:r>
    </w:p>
    <w:p>
      <w:pPr>
        <w:pStyle w:val="FirstParagraph"/>
      </w:pPr>
      <w:r>
        <w:t xml:space="preserve">Una vez alcanzada la convergencia, el valor asignado se establecera como</w:t>
      </w:r>
      <w:r>
        <w:t xml:space="preserve"> </w:t>
      </w:r>
      <m:oMath>
        <m:sSub>
          <m:e>
            <m:r>
              <m:t>x</m:t>
            </m:r>
          </m:e>
          <m:sub>
            <m:r>
              <m:t>p</m:t>
            </m:r>
            <m:r>
              <m:t>t</m:t>
            </m:r>
          </m:sub>
        </m:sSub>
        <m:r>
          <m:rPr>
            <m:sty m:val="p"/>
          </m:rPr>
          <m:t>=</m:t>
        </m:r>
        <m:sSup>
          <m:e>
            <m:r>
              <m:t>x</m:t>
            </m:r>
          </m:e>
          <m:sup>
            <m:r>
              <m:rPr>
                <m:sty m:val="p"/>
              </m:rPr>
              <m:t>*</m:t>
            </m:r>
          </m:sup>
        </m:sSup>
      </m:oMath>
      <w:r>
        <w:t xml:space="preserve"> </w:t>
      </w:r>
      <w:r>
        <w:t xml:space="preserve">y la desviacion estandar para evaluacion de aptitud se establecera como</w:t>
      </w:r>
      <w:r>
        <w:t xml:space="preserve"> </w:t>
      </w:r>
      <m:oMath>
        <m:sSub>
          <m:e>
            <m:r>
              <m:t>σ</m:t>
            </m:r>
          </m:e>
          <m:sub>
            <m:r>
              <m:t>p</m:t>
            </m:r>
            <m:r>
              <m:t>t</m:t>
            </m:r>
          </m:sub>
        </m:sSub>
        <m:r>
          <m:rPr>
            <m:sty m:val="p"/>
          </m:rPr>
          <m:t>=</m:t>
        </m:r>
        <m:sSup>
          <m:e>
            <m:r>
              <m:t>s</m:t>
            </m:r>
          </m:e>
          <m:sup>
            <m:r>
              <m:rPr>
                <m:sty m:val="p"/>
              </m:rPr>
              <m:t>*</m:t>
            </m:r>
          </m:sup>
        </m:sSup>
      </m:oMath>
      <w:r>
        <w:t xml:space="preserve">, salvo que el diseno del esquema defina una</w:t>
      </w:r>
      <w:r>
        <w:t xml:space="preserve"> </w:t>
      </w:r>
      <m:oMath>
        <m:sSub>
          <m:e>
            <m:r>
              <m:t>σ</m:t>
            </m:r>
          </m:e>
          <m:sub>
            <m:r>
              <m:t>p</m:t>
            </m:r>
            <m:r>
              <m:t>t</m:t>
            </m:r>
          </m:sub>
        </m:sSub>
      </m:oMath>
      <w:r>
        <w:t xml:space="preserve"> </w:t>
      </w:r>
      <w:r>
        <w:t xml:space="preserve">objetivo por otra via tecnica o normativa. Debera conservarse el registro del numero de iteraciones ejecutadas, del numero final de observaciones winsorizadas y de los limites de winsorizacion aplicados.</w:t>
      </w:r>
    </w:p>
    <w:bookmarkEnd w:id="27"/>
    <w:bookmarkEnd w:id="28"/>
    <w:bookmarkStart w:id="29" w:name="determinacion-del-valor-asignado"/>
    <w:p>
      <w:pPr>
        <w:pStyle w:val="Heading4"/>
      </w:pPr>
      <w:r>
        <w:t xml:space="preserve">2.2.7 Determinacion del valor asignado</w:t>
      </w:r>
    </w:p>
    <w:p>
      <w:pPr>
        <w:pStyle w:val="FirstParagraph"/>
      </w:pPr>
      <w:r>
        <w:t xml:space="preserve">El valor asignado podra provenir de una fuente de referencia externa o de consenso estadistico. Cuando se utilice un laboratorio de referencia, el valor asignado correspondera al valor trazable establecido conforme al modelo metrologico aplicable. Cuando se utilice consenso de participantes, el valor asignado podra definirse mediante mediana robusta o mediante el estimador</w:t>
      </w:r>
      <w:r>
        <w:t xml:space="preserve"> </w:t>
      </w:r>
      <m:oMath>
        <m:sSup>
          <m:e>
            <m:r>
              <m:t>x</m:t>
            </m:r>
          </m:e>
          <m:sup>
            <m:r>
              <m:rPr>
                <m:sty m:val="p"/>
              </m:rPr>
              <m:t>*</m:t>
            </m:r>
          </m:sup>
        </m:sSup>
      </m:oMath>
      <w:r>
        <w:t xml:space="preserve"> </w:t>
      </w:r>
      <w:r>
        <w:t xml:space="preserve">del Algoritmo A. La seleccion final debera justificarse en el expediente tecnico del esquema, indicando el metodo empleado, la base de datos utilizada y el control de coherencia realizado frente a posibles valores extremos o sesgos de grupo.</w:t>
      </w:r>
    </w:p>
    <w:bookmarkEnd w:id="29"/>
    <w:bookmarkStart w:id="30" w:name="X7c0dfef3868f855201b83cd5b13c954a1ec81a9"/>
    <w:p>
      <w:pPr>
        <w:pStyle w:val="Heading4"/>
      </w:pPr>
      <w:r>
        <w:t xml:space="preserve">2.2.8 Desviacion estandar para evaluacion de aptitud</w:t>
      </w:r>
    </w:p>
    <w:p>
      <w:pPr>
        <w:pStyle w:val="FirstParagraph"/>
      </w:pPr>
      <w:r>
        <w:t xml:space="preserve">La desviacion estandar para evaluacion de aptitud,</w:t>
      </w:r>
      <w:r>
        <w:t xml:space="preserve"> </w:t>
      </w:r>
      <m:oMath>
        <m:sSub>
          <m:e>
            <m:r>
              <m:t>σ</m:t>
            </m:r>
          </m:e>
          <m:sub>
            <m:r>
              <m:t>p</m:t>
            </m:r>
            <m:r>
              <m:t>t</m:t>
            </m:r>
          </m:sub>
        </m:sSub>
      </m:oMath>
      <w:r>
        <w:t xml:space="preserve">, podra derivarse de un modelo prescrito por el esquema o estimarse a partir de los resultados de participantes, siempre que exista sustento tecnico para ello. Cuando se estime a partir de datos observados, podran emplearse MADe, nIQR o el estimador</w:t>
      </w:r>
      <w:r>
        <w:t xml:space="preserve"> </w:t>
      </w:r>
      <m:oMath>
        <m:sSup>
          <m:e>
            <m:r>
              <m:t>s</m:t>
            </m:r>
          </m:e>
          <m:sup>
            <m:r>
              <m:rPr>
                <m:sty m:val="p"/>
              </m:rPr>
              <m:t>*</m:t>
            </m:r>
          </m:sup>
        </m:sSup>
      </m:oMath>
      <w:r>
        <w:t xml:space="preserve"> </w:t>
      </w:r>
      <w:r>
        <w:t xml:space="preserve">del Algoritmo A, segun corresponda al enfoque adoptado. Si el esquema exige un valor objetivo independiente de la dispersion observada, dicho valor tendra prelacion sobre los estimadores de consenso, pero la comparacion con la dispersion robusta observada debera documentarse.</w:t>
      </w:r>
    </w:p>
    <w:bookmarkEnd w:id="30"/>
    <w:bookmarkStart w:id="33" w:name="incertidumbre-del-valor-asignado"/>
    <w:p>
      <w:pPr>
        <w:pStyle w:val="Heading4"/>
      </w:pPr>
      <w:r>
        <w:t xml:space="preserve">2.2.9 Incertidumbre del valor asignado</w:t>
      </w:r>
    </w:p>
    <w:bookmarkStart w:id="31" w:name="componente-estadistica"/>
    <w:p>
      <w:pPr>
        <w:pStyle w:val="Heading5"/>
      </w:pPr>
      <w:r>
        <w:t xml:space="preserve">2.2.9.1 Componente estadistica</w:t>
      </w:r>
    </w:p>
    <w:p>
      <w:pPr>
        <w:pStyle w:val="FirstParagraph"/>
      </w:pPr>
      <w:r>
        <w:t xml:space="preserve">Cuando el valor asignado se determine estadisticamente a partir de resultados de participantes, la incertidumbre estandar asociada se calculara mediante:</w:t>
      </w:r>
    </w:p>
    <w:p>
      <w:pPr>
        <w:pStyle w:val="BodyText"/>
      </w:pPr>
      <m:oMathPara>
        <m:oMathParaPr>
          <m:jc m:val="center"/>
        </m:oMathParaPr>
        <m:oMath>
          <m:r>
            <m:t>u</m:t>
          </m:r>
          <m:r>
            <m:rPr>
              <m:sty m:val="p"/>
            </m:rPr>
            <m:t>(</m:t>
          </m:r>
          <m:sSub>
            <m:e>
              <m:r>
                <m:t>x</m:t>
              </m:r>
            </m:e>
            <m:sub>
              <m:r>
                <m:t>p</m:t>
              </m:r>
              <m:r>
                <m:t>t</m:t>
              </m:r>
            </m:sub>
          </m:sSub>
          <m:r>
            <m:rPr>
              <m:sty m:val="p"/>
            </m:rPr>
            <m:t>)</m:t>
          </m:r>
          <m:r>
            <m:rPr>
              <m:sty m:val="p"/>
            </m:rPr>
            <m:t>=</m:t>
          </m:r>
          <m:r>
            <m:t>1.25</m:t>
          </m:r>
          <m:r>
            <m:rPr>
              <m:sty m:val="p"/>
            </m:rPr>
            <m:t>×</m:t>
          </m:r>
          <m:f>
            <m:fPr>
              <m:type m:val="bar"/>
            </m:fPr>
            <m:num>
              <m:sSup>
                <m:e>
                  <m:r>
                    <m:t>s</m:t>
                  </m:r>
                </m:e>
                <m:sup>
                  <m:r>
                    <m:rPr>
                      <m:sty m:val="p"/>
                    </m:rPr>
                    <m:t>*</m:t>
                  </m:r>
                </m:sup>
              </m:sSup>
            </m:num>
            <m:den>
              <m:rad>
                <m:radPr>
                  <m:degHide m:val="on"/>
                </m:radPr>
                <m:deg/>
                <m:e>
                  <m:r>
                    <m:t>p</m:t>
                  </m:r>
                </m:e>
              </m:rad>
            </m:den>
          </m:f>
        </m:oMath>
      </m:oMathPara>
    </w:p>
    <w:p>
      <w:pPr>
        <w:pStyle w:val="FirstParagraph"/>
      </w:pPr>
      <w:r>
        <w:t xml:space="preserve">En los casos en que se utilice otro estimador de dispersion aprobado para el esquema, la expresion anterior se aplicara sustituyendo</w:t>
      </w:r>
      <w:r>
        <w:t xml:space="preserve"> </w:t>
      </w:r>
      <m:oMath>
        <m:sSup>
          <m:e>
            <m:r>
              <m:t>s</m:t>
            </m:r>
          </m:e>
          <m:sup>
            <m:r>
              <m:rPr>
                <m:sty m:val="p"/>
              </m:rPr>
              <m:t>*</m:t>
            </m:r>
          </m:sup>
        </m:sSup>
      </m:oMath>
      <w:r>
        <w:t xml:space="preserve"> </w:t>
      </w:r>
      <w:r>
        <w:t xml:space="preserve">por el estimador correspondiente.</w:t>
      </w:r>
    </w:p>
    <w:bookmarkEnd w:id="31"/>
    <w:bookmarkStart w:id="32" w:name="incertidumbre-definitiva"/>
    <w:p>
      <w:pPr>
        <w:pStyle w:val="Heading5"/>
      </w:pPr>
      <w:r>
        <w:t xml:space="preserve">2.2.9.2 Incertidumbre definitiva</w:t>
      </w:r>
    </w:p>
    <w:p>
      <w:pPr>
        <w:pStyle w:val="FirstParagraph"/>
      </w:pPr>
      <w:r>
        <w:t xml:space="preserve">La incertidumbre definitiva del valor asignado se obtendra integrando la componente estadistica con las contribuciones por homogeneidad y estabilidad, de acuerdo con:</w:t>
      </w:r>
    </w:p>
    <w:p>
      <w:pPr>
        <w:pStyle w:val="BodyText"/>
      </w:pPr>
      <m:oMathPara>
        <m:oMathParaPr>
          <m:jc m:val="center"/>
        </m:oMathParaPr>
        <m:oMath>
          <m:r>
            <m:t>u</m:t>
          </m:r>
          <m:r>
            <m:rPr>
              <m:sty m:val="p"/>
            </m:rPr>
            <m:t>(</m:t>
          </m:r>
          <m:sSub>
            <m:e>
              <m:r>
                <m:t>x</m:t>
              </m:r>
            </m:e>
            <m:sub>
              <m:r>
                <m:t>p</m:t>
              </m:r>
              <m:r>
                <m:t>t</m:t>
              </m:r>
            </m:sub>
          </m:sSub>
          <m:r>
            <m:rPr>
              <m:sty m:val="p"/>
            </m:rPr>
            <m:t>,</m:t>
          </m:r>
          <m:r>
            <m:t>d</m:t>
          </m:r>
          <m:r>
            <m:t>e</m:t>
          </m:r>
          <m:r>
            <m:t>f</m:t>
          </m:r>
          <m:r>
            <m:rPr>
              <m:sty m:val="p"/>
            </m:rPr>
            <m:t>)</m:t>
          </m:r>
          <m:r>
            <m:rPr>
              <m:sty m:val="p"/>
            </m:rPr>
            <m:t>=</m:t>
          </m:r>
          <m:rad>
            <m:radPr>
              <m:degHide m:val="on"/>
            </m:radPr>
            <m:deg/>
            <m:e>
              <m:sSubSup>
                <m:e>
                  <m:r>
                    <m:t>u</m:t>
                  </m:r>
                </m:e>
                <m:sub>
                  <m:r>
                    <m:t>x</m:t>
                  </m:r>
                  <m:r>
                    <m:t>p</m:t>
                  </m:r>
                  <m:r>
                    <m:t>t</m:t>
                  </m:r>
                </m:sub>
                <m:sup>
                  <m:r>
                    <m:t>2</m:t>
                  </m:r>
                </m:sup>
              </m:sSubSup>
              <m:r>
                <m:rPr>
                  <m:sty m:val="p"/>
                </m:rPr>
                <m:t>+</m:t>
              </m:r>
              <m:sSubSup>
                <m:e>
                  <m:r>
                    <m:t>u</m:t>
                  </m:r>
                </m:e>
                <m:sub>
                  <m:r>
                    <m:t>h</m:t>
                  </m:r>
                  <m:r>
                    <m:t>o</m:t>
                  </m:r>
                  <m:r>
                    <m:t>m</m:t>
                  </m:r>
                </m:sub>
                <m:sup>
                  <m:r>
                    <m:t>2</m:t>
                  </m:r>
                </m:sup>
              </m:sSubSup>
              <m:r>
                <m:rPr>
                  <m:sty m:val="p"/>
                </m:rPr>
                <m:t>+</m:t>
              </m:r>
              <m:sSubSup>
                <m:e>
                  <m:r>
                    <m:t>u</m:t>
                  </m:r>
                </m:e>
                <m:sub>
                  <m:r>
                    <m:t>s</m:t>
                  </m:r>
                  <m:r>
                    <m:t>t</m:t>
                  </m:r>
                  <m:r>
                    <m:t>a</m:t>
                  </m:r>
                  <m:r>
                    <m:t>b</m:t>
                  </m:r>
                </m:sub>
                <m:sup>
                  <m:r>
                    <m:t>2</m:t>
                  </m:r>
                </m:sup>
              </m:sSubSup>
            </m:e>
          </m:rad>
        </m:oMath>
      </m:oMathPara>
    </w:p>
    <w:p>
      <w:pPr>
        <w:pStyle w:val="FirstParagraph"/>
      </w:pPr>
      <w:r>
        <w:t xml:space="preserve">En este procedimiento,</w:t>
      </w:r>
      <w:r>
        <w:t xml:space="preserve"> </w:t>
      </w:r>
      <m:oMath>
        <m:sSub>
          <m:e>
            <m:r>
              <m:t>u</m:t>
            </m:r>
          </m:e>
          <m:sub>
            <m:r>
              <m:t>x</m:t>
            </m:r>
            <m:r>
              <m:t>p</m:t>
            </m:r>
            <m:r>
              <m:t>t</m:t>
            </m:r>
          </m:sub>
        </m:sSub>
      </m:oMath>
      <w:r>
        <w:t xml:space="preserve"> </w:t>
      </w:r>
      <w:r>
        <w:t xml:space="preserve">representa la incertidumbre estadistica del valor asignado calculada a partir del metodo de caracterizacion. La contribucion por homogeneidad se establece como:</w:t>
      </w:r>
    </w:p>
    <w:p>
      <w:pPr>
        <w:pStyle w:val="BodyText"/>
      </w:pPr>
      <m:oMathPara>
        <m:oMathParaPr>
          <m:jc m:val="center"/>
        </m:oMathParaPr>
        <m:oMath>
          <m:sSub>
            <m:e>
              <m:r>
                <m:t>u</m:t>
              </m:r>
            </m:e>
            <m:sub>
              <m:r>
                <m:t>h</m:t>
              </m:r>
              <m:r>
                <m:t>o</m:t>
              </m:r>
              <m:r>
                <m:t>m</m:t>
              </m:r>
            </m:sub>
          </m:sSub>
          <m:r>
            <m:rPr>
              <m:sty m:val="p"/>
            </m:rPr>
            <m:t>=</m:t>
          </m:r>
          <m:sSub>
            <m:e>
              <m:r>
                <m:t>s</m:t>
              </m:r>
            </m:e>
            <m:sub>
              <m:r>
                <m:t>s</m:t>
              </m:r>
            </m:sub>
          </m:sSub>
        </m:oMath>
      </m:oMathPara>
    </w:p>
    <w:p>
      <w:pPr>
        <w:pStyle w:val="FirstParagraph"/>
      </w:pPr>
      <w:r>
        <w:t xml:space="preserve">La contribucion por estabilidad se definira de la siguiente forma:</w:t>
      </w:r>
    </w:p>
    <w:p>
      <w:pPr>
        <w:pStyle w:val="BodyText"/>
      </w:pPr>
      <m:oMathPara>
        <m:oMathParaPr>
          <m:jc m:val="center"/>
        </m:oMathParaPr>
        <m:oMath>
          <m:sSub>
            <m:e>
              <m:r>
                <m:t>u</m:t>
              </m:r>
            </m:e>
            <m:sub>
              <m:r>
                <m:t>s</m:t>
              </m:r>
              <m:r>
                <m:t>t</m:t>
              </m:r>
              <m:r>
                <m:t>a</m:t>
              </m:r>
              <m:r>
                <m:t>b</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si </m:t>
                    </m:r>
                    <m:r>
                      <m:rPr>
                        <m:sty m:val="p"/>
                      </m:rPr>
                      <m:t>Δ</m:t>
                    </m:r>
                    <m:r>
                      <m:rPr>
                        <m:sty m:val="p"/>
                      </m:rPr>
                      <m:t>≤</m:t>
                    </m:r>
                    <m:r>
                      <m:t>0.3</m:t>
                    </m:r>
                    <m:sSub>
                      <m:e>
                        <m:r>
                          <m:t>σ</m:t>
                        </m:r>
                      </m:e>
                      <m:sub>
                        <m:r>
                          <m:t>p</m:t>
                        </m:r>
                        <m:r>
                          <m:t>t</m:t>
                        </m:r>
                      </m:sub>
                    </m:sSub>
                  </m:e>
                </m:mr>
                <m:mr>
                  <m:e>
                    <m:f>
                      <m:fPr>
                        <m:type m:val="bar"/>
                      </m:fPr>
                      <m:num>
                        <m:r>
                          <m:rPr>
                            <m:sty m:val="p"/>
                          </m:rPr>
                          <m:t>Δ</m:t>
                        </m:r>
                      </m:num>
                      <m:den>
                        <m:rad>
                          <m:radPr>
                            <m:degHide m:val="on"/>
                          </m:radPr>
                          <m:deg/>
                          <m:e>
                            <m:r>
                              <m:t>3</m:t>
                            </m:r>
                          </m:e>
                        </m:rad>
                      </m:den>
                    </m:f>
                  </m:e>
                  <m:e>
                    <m:r>
                      <m:rPr>
                        <m:nor/>
                        <m:sty m:val="p"/>
                      </m:rPr>
                      <m:t>si </m:t>
                    </m:r>
                    <m:r>
                      <m:rPr>
                        <m:sty m:val="p"/>
                      </m:rPr>
                      <m:t>Δ</m:t>
                    </m:r>
                    <m:r>
                      <m:rPr>
                        <m:sty m:val="p"/>
                      </m:rPr>
                      <m:t>&gt;</m:t>
                    </m:r>
                    <m:r>
                      <m:t>0.3</m:t>
                    </m:r>
                    <m:sSub>
                      <m:e>
                        <m:r>
                          <m:t>σ</m:t>
                        </m:r>
                      </m:e>
                      <m:sub>
                        <m:r>
                          <m:t>p</m:t>
                        </m:r>
                        <m:r>
                          <m:t>t</m:t>
                        </m:r>
                      </m:sub>
                    </m:sSub>
                  </m:e>
                </m:mr>
              </m:m>
            </m:e>
          </m:d>
        </m:oMath>
      </m:oMathPara>
    </w:p>
    <w:p>
      <w:pPr>
        <w:pStyle w:val="FirstParagraph"/>
      </w:pPr>
      <w:r>
        <w:t xml:space="preserve">donde</w:t>
      </w:r>
      <w:r>
        <w:t xml:space="preserve"> </w:t>
      </w:r>
      <m:oMath>
        <m:r>
          <m:rPr>
            <m:sty m:val="p"/>
          </m:rPr>
          <m:t>Δ</m:t>
        </m:r>
      </m:oMath>
      <w:r>
        <w:t xml:space="preserve"> </w:t>
      </w:r>
      <w:r>
        <w:t xml:space="preserve">corresponde a la diferencia absoluta observada entre la condicion inicial y la condicion de estabilidad evaluada conforme al protocolo del estudio.</w:t>
      </w:r>
    </w:p>
    <w:bookmarkEnd w:id="32"/>
    <w:bookmarkEnd w:id="33"/>
    <w:bookmarkStart w:id="41" w:name="evaluacion-de-homogeneidad"/>
    <w:p>
      <w:pPr>
        <w:pStyle w:val="Heading4"/>
      </w:pPr>
      <w:r>
        <w:t xml:space="preserve">2.2.10 Evaluacion de homogeneidad</w:t>
      </w:r>
    </w:p>
    <w:bookmarkStart w:id="34" w:name="consideraciones-generales"/>
    <w:p>
      <w:pPr>
        <w:pStyle w:val="Heading5"/>
      </w:pPr>
      <w:r>
        <w:t xml:space="preserve">2.2.10.1 Consideraciones generales</w:t>
      </w:r>
    </w:p>
    <w:p>
      <w:pPr>
        <w:pStyle w:val="FirstParagraph"/>
      </w:pPr>
      <w:r>
        <w:t xml:space="preserve">La evaluacion de homogeneidad se realizara sobre los items del ensayo de aptitud empleando el modelo estadistico implementado en</w:t>
      </w:r>
      <w:r>
        <w:t xml:space="preserve"> </w:t>
      </w:r>
      <w:r>
        <w:rPr>
          <w:rStyle w:val="VerbatimChar"/>
        </w:rPr>
        <w:t xml:space="preserve">R/pt_homogeneity.R</w:t>
      </w:r>
      <w:r>
        <w:t xml:space="preserve">, en concordancia con ISO 13528:2022. El objetivo es estimar la variabilidad entre items y compararla con la fraccion admisible de la desviacion estandar para evaluacion de aptitud.</w:t>
      </w:r>
    </w:p>
    <w:bookmarkEnd w:id="34"/>
    <w:bookmarkStart w:id="35" w:name="media-por-item"/>
    <w:p>
      <w:pPr>
        <w:pStyle w:val="Heading5"/>
      </w:pPr>
      <w:r>
        <w:t xml:space="preserve">2.2.10.2 Media por item</w:t>
      </w:r>
    </w:p>
    <w:p>
      <w:pPr>
        <w:pStyle w:val="FirstParagraph"/>
      </w:pPr>
      <w:r>
        <w:t xml:space="preserve">Para cada item</w:t>
      </w:r>
      <w:r>
        <w:t xml:space="preserve"> </w:t>
      </w:r>
      <m:oMath>
        <m:r>
          <m:t>i</m:t>
        </m:r>
      </m:oMath>
      <w:r>
        <w:t xml:space="preserve"> </w:t>
      </w:r>
      <w:r>
        <w:t xml:space="preserve">con</w:t>
      </w:r>
      <w:r>
        <w:t xml:space="preserve"> </w:t>
      </w:r>
      <m:oMath>
        <m:r>
          <m:t>m</m:t>
        </m:r>
      </m:oMath>
      <w:r>
        <w:t xml:space="preserve"> </w:t>
      </w:r>
      <w:r>
        <w:t xml:space="preserve">replicas, la media por item se calculara como:</w:t>
      </w:r>
    </w:p>
    <w:p>
      <w:pPr>
        <w:pStyle w:val="BodyText"/>
      </w:pPr>
      <m:oMathPara>
        <m:oMathParaPr>
          <m:jc m:val="center"/>
        </m:oMathParaPr>
        <m:oMath>
          <m:sSub>
            <m:e>
              <m:acc>
                <m:accPr>
                  <m:chr m:val="‾"/>
                </m:accPr>
                <m:e>
                  <m:r>
                    <m:t>x</m:t>
                  </m:r>
                </m:e>
              </m:acc>
            </m:e>
            <m:sub>
              <m:r>
                <m:t>i</m:t>
              </m:r>
            </m:sub>
          </m:sSub>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x</m:t>
                  </m:r>
                </m:e>
                <m:sub>
                  <m:r>
                    <m:t>i</m:t>
                  </m:r>
                  <m:r>
                    <m:t>j</m:t>
                  </m:r>
                </m:sub>
              </m:sSub>
            </m:e>
          </m:nary>
        </m:oMath>
      </m:oMathPara>
    </w:p>
    <w:bookmarkEnd w:id="35"/>
    <w:bookmarkStart w:id="36" w:name="varianza-entre-medias-de-item"/>
    <w:p>
      <w:pPr>
        <w:pStyle w:val="Heading5"/>
      </w:pPr>
      <w:r>
        <w:t xml:space="preserve">2.2.10.3 Varianza entre medias de item</w:t>
      </w:r>
    </w:p>
    <w:p>
      <w:pPr>
        <w:pStyle w:val="FirstParagraph"/>
      </w:pPr>
      <w:r>
        <w:t xml:space="preserve">La varianza entre las medias de item se calculara mediante:</w:t>
      </w:r>
    </w:p>
    <w:p>
      <w:pPr>
        <w:pStyle w:val="BodyText"/>
      </w:pPr>
      <m:oMathPara>
        <m:oMathParaPr>
          <m:jc m:val="center"/>
        </m:oMathParaPr>
        <m:oMath>
          <m:sSubSup>
            <m:e>
              <m:r>
                <m:t>s</m:t>
              </m:r>
            </m:e>
            <m:sub>
              <m:acc>
                <m:accPr>
                  <m:chr m:val="‾"/>
                </m:accPr>
                <m:e>
                  <m:r>
                    <m:t>x</m:t>
                  </m:r>
                </m:e>
              </m:acc>
            </m:sub>
            <m:sup>
              <m:r>
                <m:t>2</m:t>
              </m:r>
            </m:sup>
          </m:sSubSup>
          <m:r>
            <m:rPr>
              <m:sty m:val="p"/>
            </m:rPr>
            <m:t>=</m:t>
          </m:r>
          <m:f>
            <m:fPr>
              <m:type m:val="bar"/>
            </m:fPr>
            <m:num>
              <m:r>
                <m:t>1</m:t>
              </m:r>
            </m:num>
            <m:den>
              <m:r>
                <m:t>g</m:t>
              </m:r>
              <m:r>
                <m:rPr>
                  <m:sty m:val="p"/>
                </m:rPr>
                <m:t>−</m:t>
              </m:r>
              <m:r>
                <m:t>1</m:t>
              </m:r>
            </m:den>
          </m:f>
          <m:nary>
            <m:naryPr>
              <m:chr m:val="∑"/>
              <m:limLoc m:val="undOvr"/>
              <m:subHide m:val="off"/>
              <m:supHide m:val="off"/>
            </m:naryPr>
            <m:sub>
              <m:r>
                <m:t>i</m:t>
              </m:r>
              <m:r>
                <m:rPr>
                  <m:sty m:val="p"/>
                </m:rPr>
                <m:t>=</m:t>
              </m:r>
              <m:r>
                <m:t>1</m:t>
              </m:r>
            </m:sub>
            <m:sup>
              <m:r>
                <m:t>g</m:t>
              </m:r>
            </m:sup>
            <m:e>
              <m:sSup>
                <m:e>
                  <m:d>
                    <m:dPr>
                      <m:begChr m:val="("/>
                      <m:sepChr m:val=""/>
                      <m:endChr m:val=")"/>
                      <m:grow/>
                    </m:dPr>
                    <m:e>
                      <m:sSub>
                        <m:e>
                          <m:acc>
                            <m:accPr>
                              <m:chr m:val="‾"/>
                            </m:accPr>
                            <m:e>
                              <m:r>
                                <m:t>x</m:t>
                              </m:r>
                            </m:e>
                          </m:acc>
                        </m:e>
                        <m:sub>
                          <m:r>
                            <m:t>i</m:t>
                          </m:r>
                        </m:sub>
                      </m:sSub>
                      <m:r>
                        <m:rPr>
                          <m:sty m:val="p"/>
                        </m:rPr>
                        <m:t>−</m:t>
                      </m:r>
                      <m:acc>
                        <m:accPr>
                          <m:chr m:val="‾"/>
                        </m:accPr>
                        <m:e>
                          <m:acc>
                            <m:accPr>
                              <m:chr m:val="‾"/>
                            </m:accPr>
                            <m:e>
                              <m:r>
                                <m:t>x</m:t>
                              </m:r>
                            </m:e>
                          </m:acc>
                        </m:e>
                      </m:acc>
                    </m:e>
                  </m:d>
                </m:e>
                <m:sup>
                  <m:r>
                    <m:t>2</m:t>
                  </m:r>
                </m:sup>
              </m:sSup>
            </m:e>
          </m:nary>
        </m:oMath>
      </m:oMathPara>
    </w:p>
    <w:p>
      <w:pPr>
        <w:pStyle w:val="FirstParagraph"/>
      </w:pPr>
      <w:r>
        <w:t xml:space="preserve">donde</w:t>
      </w:r>
      <w:r>
        <w:t xml:space="preserve"> </w:t>
      </w:r>
      <m:oMath>
        <m:r>
          <m:t>g</m:t>
        </m:r>
      </m:oMath>
      <w:r>
        <w:t xml:space="preserve"> </w:t>
      </w:r>
      <w:r>
        <w:t xml:space="preserve">es el numero de items y</w:t>
      </w:r>
      <w:r>
        <w:t xml:space="preserve"> </w:t>
      </w:r>
      <m:oMath>
        <m:acc>
          <m:accPr>
            <m:chr m:val="‾"/>
          </m:accPr>
          <m:e>
            <m:acc>
              <m:accPr>
                <m:chr m:val="‾"/>
              </m:accPr>
              <m:e>
                <m:r>
                  <m:t>x</m:t>
                </m:r>
              </m:e>
            </m:acc>
          </m:e>
        </m:acc>
      </m:oMath>
      <w:r>
        <w:t xml:space="preserve"> </w:t>
      </w:r>
      <w:r>
        <w:t xml:space="preserve">es la media global de las medias por item.</w:t>
      </w:r>
    </w:p>
    <w:bookmarkEnd w:id="36"/>
    <w:bookmarkStart w:id="37" w:name="desviacion-dentro-de-item-para-m-2"/>
    <w:p>
      <w:pPr>
        <w:pStyle w:val="Heading5"/>
      </w:pPr>
      <w:r>
        <w:t xml:space="preserve">2.2.10.4 Desviacion dentro de item para</w:t>
      </w:r>
      <w:r>
        <w:t xml:space="preserve"> </w:t>
      </w:r>
      <m:oMath>
        <m:r>
          <m:t>m</m:t>
        </m:r>
        <m:r>
          <m:rPr>
            <m:sty m:val="p"/>
          </m:rPr>
          <m:t>=</m:t>
        </m:r>
        <m:r>
          <m:t>2</m:t>
        </m:r>
      </m:oMath>
    </w:p>
    <w:p>
      <w:pPr>
        <w:pStyle w:val="FirstParagraph"/>
      </w:pPr>
      <w:r>
        <w:t xml:space="preserve">Cuando el numero de replicas por item sea igual a dos, la desviacion dentro de item se estimara mediante:</w:t>
      </w:r>
    </w:p>
    <w:p>
      <w:pPr>
        <w:pStyle w:val="BodyText"/>
      </w:pPr>
      <m:oMathPara>
        <m:oMathParaPr>
          <m:jc m:val="center"/>
        </m:oMathParaPr>
        <m:oMath>
          <m:sSub>
            <m:e>
              <m:r>
                <m:t>s</m:t>
              </m:r>
            </m:e>
            <m:sub>
              <m:r>
                <m:t>w</m:t>
              </m:r>
            </m:sub>
          </m:sSub>
          <m:r>
            <m:rPr>
              <m:sty m:val="p"/>
            </m:rPr>
            <m:t>=</m:t>
          </m:r>
          <m:rad>
            <m:radPr>
              <m:degHide m:val="on"/>
            </m:radPr>
            <m:deg/>
            <m:e>
              <m:f>
                <m:fPr>
                  <m:type m:val="bar"/>
                </m:fPr>
                <m:num>
                  <m:r>
                    <m:t>1</m:t>
                  </m:r>
                </m:num>
                <m:den>
                  <m:r>
                    <m:t>2</m:t>
                  </m:r>
                  <m:r>
                    <m:t>g</m:t>
                  </m:r>
                </m:den>
              </m:f>
              <m:nary>
                <m:naryPr>
                  <m:chr m:val="∑"/>
                  <m:limLoc m:val="undOvr"/>
                  <m:subHide m:val="off"/>
                  <m:supHide m:val="off"/>
                </m:naryPr>
                <m:sub>
                  <m:r>
                    <m:t>i</m:t>
                  </m:r>
                  <m:r>
                    <m:rPr>
                      <m:sty m:val="p"/>
                    </m:rPr>
                    <m:t>=</m:t>
                  </m:r>
                  <m:r>
                    <m:t>1</m:t>
                  </m:r>
                </m:sub>
                <m:sup>
                  <m:r>
                    <m:t>g</m:t>
                  </m:r>
                </m:sup>
                <m:e>
                  <m:sSup>
                    <m:e>
                      <m:d>
                        <m:dPr>
                          <m:begChr m:val="("/>
                          <m:sepChr m:val=""/>
                          <m:endChr m:val=")"/>
                          <m:grow/>
                        </m:dPr>
                        <m:e>
                          <m:sSub>
                            <m:e>
                              <m:r>
                                <m:t>x</m:t>
                              </m:r>
                            </m:e>
                            <m:sub>
                              <m:r>
                                <m:t>i</m:t>
                              </m:r>
                              <m:r>
                                <m:t>1</m:t>
                              </m:r>
                            </m:sub>
                          </m:sSub>
                          <m:r>
                            <m:rPr>
                              <m:sty m:val="p"/>
                            </m:rPr>
                            <m:t>−</m:t>
                          </m:r>
                          <m:sSub>
                            <m:e>
                              <m:r>
                                <m:t>x</m:t>
                              </m:r>
                            </m:e>
                            <m:sub>
                              <m:r>
                                <m:t>i</m:t>
                              </m:r>
                              <m:r>
                                <m:t>2</m:t>
                              </m:r>
                            </m:sub>
                          </m:sSub>
                        </m:e>
                      </m:d>
                    </m:e>
                    <m:sup>
                      <m:r>
                        <m:t>2</m:t>
                      </m:r>
                    </m:sup>
                  </m:sSup>
                </m:e>
              </m:nary>
            </m:e>
          </m:rad>
        </m:oMath>
      </m:oMathPara>
    </w:p>
    <w:bookmarkEnd w:id="37"/>
    <w:bookmarkStart w:id="38" w:name="componente-de-variacion-entre-items"/>
    <w:p>
      <w:pPr>
        <w:pStyle w:val="Heading5"/>
      </w:pPr>
      <w:r>
        <w:t xml:space="preserve">2.2.10.5 Componente de variacion entre items</w:t>
      </w:r>
    </w:p>
    <w:p>
      <w:pPr>
        <w:pStyle w:val="FirstParagraph"/>
      </w:pPr>
      <w:r>
        <w:t xml:space="preserve">La componente de varianza entre items se determinara mediante:</w:t>
      </w:r>
    </w:p>
    <w:p>
      <w:pPr>
        <w:pStyle w:val="BodyText"/>
      </w:pPr>
      <m:oMathPara>
        <m:oMathParaPr>
          <m:jc m:val="center"/>
        </m:oMathParaPr>
        <m:oMath>
          <m:sSubSup>
            <m:e>
              <m:r>
                <m:t>s</m:t>
              </m:r>
            </m:e>
            <m:sub>
              <m:r>
                <m:t>s</m:t>
              </m:r>
            </m:sub>
            <m:sup>
              <m:r>
                <m:t>2</m:t>
              </m:r>
            </m:sup>
          </m:sSubSup>
          <m:r>
            <m:rPr>
              <m:sty m:val="p"/>
            </m:rPr>
            <m:t>=</m:t>
          </m:r>
          <m:sSubSup>
            <m:e>
              <m:r>
                <m:t>s</m:t>
              </m:r>
            </m:e>
            <m:sub>
              <m:acc>
                <m:accPr>
                  <m:chr m:val="‾"/>
                </m:accPr>
                <m:e>
                  <m:r>
                    <m:t>x</m:t>
                  </m:r>
                </m:e>
              </m:acc>
            </m:sub>
            <m:sup>
              <m:r>
                <m:t>2</m:t>
              </m:r>
            </m:sup>
          </m:sSubSup>
          <m:r>
            <m:rPr>
              <m:sty m:val="p"/>
            </m:rPr>
            <m:t>−</m:t>
          </m:r>
          <m:f>
            <m:fPr>
              <m:type m:val="bar"/>
            </m:fPr>
            <m:num>
              <m:sSubSup>
                <m:e>
                  <m:r>
                    <m:t>s</m:t>
                  </m:r>
                </m:e>
                <m:sub>
                  <m:r>
                    <m:t>w</m:t>
                  </m:r>
                </m:sub>
                <m:sup>
                  <m:r>
                    <m:t>2</m:t>
                  </m:r>
                </m:sup>
              </m:sSubSup>
            </m:num>
            <m:den>
              <m:r>
                <m:t>m</m:t>
              </m:r>
            </m:den>
          </m:f>
        </m:oMath>
      </m:oMathPara>
    </w:p>
    <w:p>
      <w:pPr>
        <w:pStyle w:val="FirstParagraph"/>
      </w:pPr>
      <w:r>
        <w:t xml:space="preserve">Si</w:t>
      </w:r>
      <w:r>
        <w:t xml:space="preserve"> </w:t>
      </w:r>
      <m:oMath>
        <m:sSubSup>
          <m:e>
            <m:r>
              <m:t>s</m:t>
            </m:r>
          </m:e>
          <m:sub>
            <m:r>
              <m:t>s</m:t>
            </m:r>
          </m:sub>
          <m:sup>
            <m:r>
              <m:t>2</m:t>
            </m:r>
          </m:sup>
        </m:sSubSup>
        <m:r>
          <m:rPr>
            <m:sty m:val="p"/>
          </m:rPr>
          <m:t>&lt;</m:t>
        </m:r>
        <m:r>
          <m:t>0</m:t>
        </m:r>
      </m:oMath>
      <w:r>
        <w:t xml:space="preserve">, se adoptara:</w:t>
      </w:r>
    </w:p>
    <w:p>
      <w:pPr>
        <w:pStyle w:val="BodyText"/>
      </w:pPr>
      <m:oMathPara>
        <m:oMathParaPr>
          <m:jc m:val="center"/>
        </m:oMathParaPr>
        <m:oMath>
          <m:sSub>
            <m:e>
              <m:r>
                <m:t>s</m:t>
              </m:r>
            </m:e>
            <m:sub>
              <m:r>
                <m:t>s</m:t>
              </m:r>
            </m:sub>
          </m:sSub>
          <m:r>
            <m:rPr>
              <m:sty m:val="p"/>
            </m:rPr>
            <m:t>=</m:t>
          </m:r>
          <m:r>
            <m:t>0</m:t>
          </m:r>
        </m:oMath>
      </m:oMathPara>
    </w:p>
    <w:p>
      <w:pPr>
        <w:pStyle w:val="FirstParagraph"/>
      </w:pPr>
      <w:r>
        <w:t xml:space="preserve">En caso contrario, la desviacion estandar entre items sera:</w:t>
      </w:r>
    </w:p>
    <w:p>
      <w:pPr>
        <w:pStyle w:val="BodyText"/>
      </w:pPr>
      <m:oMathPara>
        <m:oMathParaPr>
          <m:jc m:val="center"/>
        </m:oMathParaPr>
        <m:oMath>
          <m:sSub>
            <m:e>
              <m:r>
                <m:t>s</m:t>
              </m:r>
            </m:e>
            <m:sub>
              <m:r>
                <m:t>s</m:t>
              </m:r>
            </m:sub>
          </m:sSub>
          <m:r>
            <m:rPr>
              <m:sty m:val="p"/>
            </m:rPr>
            <m:t>=</m:t>
          </m:r>
          <m:rad>
            <m:radPr>
              <m:degHide m:val="on"/>
            </m:radPr>
            <m:deg/>
            <m:e>
              <m:sSubSup>
                <m:e>
                  <m:r>
                    <m:t>s</m:t>
                  </m:r>
                </m:e>
                <m:sub>
                  <m:r>
                    <m:t>s</m:t>
                  </m:r>
                </m:sub>
                <m:sup>
                  <m:r>
                    <m:t>2</m:t>
                  </m:r>
                </m:sup>
              </m:sSubSup>
            </m:e>
          </m:rad>
        </m:oMath>
      </m:oMathPara>
    </w:p>
    <w:bookmarkEnd w:id="38"/>
    <w:bookmarkStart w:id="39" w:name="criterio-basico-de-homogeneidad"/>
    <w:p>
      <w:pPr>
        <w:pStyle w:val="Heading5"/>
      </w:pPr>
      <w:r>
        <w:t xml:space="preserve">2.2.10.6 Criterio basico de homogeneidad</w:t>
      </w:r>
    </w:p>
    <w:p>
      <w:pPr>
        <w:pStyle w:val="FirstParagraph"/>
      </w:pPr>
      <w:r>
        <w:t xml:space="preserve">El criterio basico de aceptacion de homogeneidad sera:</w:t>
      </w:r>
    </w:p>
    <w:p>
      <w:pPr>
        <w:pStyle w:val="BodyText"/>
      </w:pPr>
      <m:oMathPara>
        <m:oMathParaPr>
          <m:jc m:val="center"/>
        </m:oMathParaPr>
        <m:oMath>
          <m:sSub>
            <m:e>
              <m:r>
                <m:t>s</m:t>
              </m:r>
            </m:e>
            <m:sub>
              <m:r>
                <m:t>s</m:t>
              </m:r>
            </m:sub>
          </m:sSub>
          <m:r>
            <m:rPr>
              <m:sty m:val="p"/>
            </m:rPr>
            <m:t>≤</m:t>
          </m:r>
          <m:r>
            <m:t>0.3</m:t>
          </m:r>
          <m:r>
            <m:t> </m:t>
          </m:r>
          <m:sSub>
            <m:e>
              <m:r>
                <m:t>σ</m:t>
              </m:r>
            </m:e>
            <m:sub>
              <m:r>
                <m:t>p</m:t>
              </m:r>
              <m:r>
                <m:t>t</m:t>
              </m:r>
            </m:sub>
          </m:sSub>
        </m:oMath>
      </m:oMathPara>
    </w:p>
    <w:bookmarkEnd w:id="39"/>
    <w:bookmarkStart w:id="40" w:name="criterio-expandido-de-homogeneidad"/>
    <w:p>
      <w:pPr>
        <w:pStyle w:val="Heading5"/>
      </w:pPr>
      <w:r>
        <w:t xml:space="preserve">2.2.10.7 Criterio expandido de homogeneidad</w:t>
      </w:r>
    </w:p>
    <w:p>
      <w:pPr>
        <w:pStyle w:val="FirstParagraph"/>
      </w:pPr>
      <w:r>
        <w:t xml:space="preserve">Cuando se requiera el criterio expandido conforme a ISO 13528:2022, Tabla 4, se aplicara la relacion:</w:t>
      </w:r>
    </w:p>
    <w:p>
      <w:pPr>
        <w:pStyle w:val="BodyText"/>
      </w:pPr>
      <m:oMathPara>
        <m:oMathParaPr>
          <m:jc m:val="center"/>
        </m:oMathParaPr>
        <m:oMath>
          <m:r>
            <m:t>M</m:t>
          </m:r>
          <m:sSub>
            <m:e>
              <m:r>
                <m:t>S</m:t>
              </m:r>
            </m:e>
            <m:sub>
              <m:r>
                <m:t>b</m:t>
              </m:r>
            </m:sub>
          </m:sSub>
          <m:r>
            <m:rPr>
              <m:sty m:val="p"/>
            </m:rPr>
            <m:t>≤</m:t>
          </m:r>
          <m:sSub>
            <m:e>
              <m:r>
                <m:t>F</m:t>
              </m:r>
            </m:e>
            <m:sub>
              <m:r>
                <m:t>1</m:t>
              </m:r>
            </m:sub>
          </m:sSub>
          <m:r>
            <m:rPr>
              <m:sty m:val="p"/>
            </m:rPr>
            <m:t>(</m:t>
          </m:r>
          <m:r>
            <m:t>0.3</m:t>
          </m:r>
          <m:sSub>
            <m:e>
              <m:r>
                <m:t>σ</m:t>
              </m:r>
            </m:e>
            <m:sub>
              <m:r>
                <m:t>p</m:t>
              </m:r>
              <m:r>
                <m:t>t</m:t>
              </m:r>
            </m:sub>
          </m:sSub>
          <m:sSup>
            <m:e>
              <m:r>
                <m:rPr>
                  <m:sty m:val="p"/>
                </m:rPr>
                <m:t>)</m:t>
              </m:r>
            </m:e>
            <m:sup>
              <m:r>
                <m:t>2</m:t>
              </m:r>
            </m:sup>
          </m:sSup>
          <m:r>
            <m:rPr>
              <m:sty m:val="p"/>
            </m:rPr>
            <m:t>+</m:t>
          </m:r>
          <m:sSub>
            <m:e>
              <m:r>
                <m:t>F</m:t>
              </m:r>
            </m:e>
            <m:sub>
              <m:r>
                <m:t>2</m:t>
              </m:r>
            </m:sub>
          </m:sSub>
          <m:r>
            <m:t> </m:t>
          </m:r>
          <m:r>
            <m:t>M</m:t>
          </m:r>
          <m:sSub>
            <m:e>
              <m:r>
                <m:t>S</m:t>
              </m:r>
            </m:e>
            <m:sub>
              <m:r>
                <m:t>w</m:t>
              </m:r>
            </m:sub>
          </m:sSub>
        </m:oMath>
      </m:oMathPara>
    </w:p>
    <w:p>
      <w:pPr>
        <w:pStyle w:val="FirstParagraph"/>
      </w:pPr>
      <w:r>
        <w:t xml:space="preserve">donde</w:t>
      </w:r>
      <w:r>
        <w:t xml:space="preserve"> </w:t>
      </w:r>
      <m:oMath>
        <m:sSub>
          <m:e>
            <m:r>
              <m:t>F</m:t>
            </m:r>
          </m:e>
          <m:sub>
            <m:r>
              <m:t>1</m:t>
            </m:r>
          </m:sub>
        </m:sSub>
      </m:oMath>
      <w:r>
        <w:t xml:space="preserve"> </w:t>
      </w:r>
      <w:r>
        <w:t xml:space="preserve">y</w:t>
      </w:r>
      <w:r>
        <w:t xml:space="preserve"> </w:t>
      </w:r>
      <m:oMath>
        <m:sSub>
          <m:e>
            <m:r>
              <m:t>F</m:t>
            </m:r>
          </m:e>
          <m:sub>
            <m:r>
              <m:t>2</m:t>
            </m:r>
          </m:sub>
        </m:sSub>
      </m:oMath>
      <w:r>
        <w:t xml:space="preserve"> </w:t>
      </w:r>
      <w:r>
        <w:t xml:space="preserve">son factores tabulados dependientes del numero de items y</w:t>
      </w:r>
      <w:r>
        <w:t xml:space="preserve"> </w:t>
      </w:r>
      <m:oMath>
        <m:r>
          <m:t>M</m:t>
        </m:r>
        <m:sSub>
          <m:e>
            <m:r>
              <m:t>S</m:t>
            </m:r>
          </m:e>
          <m:sub>
            <m:r>
              <m:t>b</m:t>
            </m:r>
          </m:sub>
        </m:sSub>
      </m:oMath>
      <w:r>
        <w:t xml:space="preserve"> </w:t>
      </w:r>
      <w:r>
        <w:t xml:space="preserve">y</w:t>
      </w:r>
      <w:r>
        <w:t xml:space="preserve"> </w:t>
      </w:r>
      <m:oMath>
        <m:r>
          <m:t>M</m:t>
        </m:r>
        <m:sSub>
          <m:e>
            <m:r>
              <m:t>S</m:t>
            </m:r>
          </m:e>
          <m:sub>
            <m:r>
              <m:t>w</m:t>
            </m:r>
          </m:sub>
        </m:sSub>
      </m:oMath>
      <w:r>
        <w:t xml:space="preserve"> </w:t>
      </w:r>
      <w:r>
        <w:t xml:space="preserve">representan los cuadrados medios entre y dentro de items, respectivamente.</w:t>
      </w:r>
    </w:p>
    <w:bookmarkEnd w:id="40"/>
    <w:bookmarkEnd w:id="41"/>
    <w:bookmarkStart w:id="45" w:name="evaluacion-de-estabilidad"/>
    <w:p>
      <w:pPr>
        <w:pStyle w:val="Heading4"/>
      </w:pPr>
      <w:r>
        <w:t xml:space="preserve">2.2.11 Evaluacion de estabilidad</w:t>
      </w:r>
    </w:p>
    <w:bookmarkStart w:id="42" w:name="consideraciones-generales-1"/>
    <w:p>
      <w:pPr>
        <w:pStyle w:val="Heading5"/>
      </w:pPr>
      <w:r>
        <w:t xml:space="preserve">2.2.11.1 Consideraciones generales</w:t>
      </w:r>
    </w:p>
    <w:p>
      <w:pPr>
        <w:pStyle w:val="FirstParagraph"/>
      </w:pPr>
      <w:r>
        <w:t xml:space="preserve">La evaluacion de estabilidad se realizara comparando el comportamiento medio de los items bajo la condicion de referencia y la condicion de estabilidad definida por el esquema. El tratamiento estadistico se ejecutara conforme a la logica implementada en</w:t>
      </w:r>
      <w:r>
        <w:t xml:space="preserve"> </w:t>
      </w:r>
      <w:r>
        <w:rPr>
          <w:rStyle w:val="VerbatimChar"/>
        </w:rPr>
        <w:t xml:space="preserve">R/pt_homogeneity.R</w:t>
      </w:r>
      <w:r>
        <w:t xml:space="preserve">.</w:t>
      </w:r>
    </w:p>
    <w:bookmarkEnd w:id="42"/>
    <w:bookmarkStart w:id="43" w:name="diferencia-media"/>
    <w:p>
      <w:pPr>
        <w:pStyle w:val="Heading5"/>
      </w:pPr>
      <w:r>
        <w:t xml:space="preserve">2.2.11.2 Diferencia media</w:t>
      </w:r>
    </w:p>
    <w:p>
      <w:pPr>
        <w:pStyle w:val="FirstParagraph"/>
      </w:pPr>
      <w:r>
        <w:t xml:space="preserve">La diferencia media entre la condicion de homogeneidad y la condicion de estabilidad se calculara mediante:</w:t>
      </w:r>
    </w:p>
    <w:p>
      <w:pPr>
        <w:pStyle w:val="BodyText"/>
      </w:pPr>
      <m:oMathPara>
        <m:oMathParaPr>
          <m:jc m:val="center"/>
        </m:oMathParaPr>
        <m:oMath>
          <m:r>
            <m:rPr>
              <m:sty m:val="p"/>
            </m:rPr>
            <m:t>Δ</m:t>
          </m:r>
          <m:r>
            <m:rPr>
              <m:sty m:val="p"/>
            </m:rPr>
            <m:t>=</m:t>
          </m:r>
          <m:d>
            <m:dPr>
              <m:begChr m:val="|"/>
              <m:sepChr m:val=""/>
              <m:endChr m:val="|"/>
              <m:grow/>
            </m:dPr>
            <m:e>
              <m:sSub>
                <m:e>
                  <m:acc>
                    <m:accPr>
                      <m:chr m:val="‾"/>
                    </m:accPr>
                    <m:e>
                      <m:r>
                        <m:t>y</m:t>
                      </m:r>
                    </m:e>
                  </m:acc>
                </m:e>
                <m:sub>
                  <m:r>
                    <m:t>1</m:t>
                  </m:r>
                </m:sub>
              </m:sSub>
              <m:r>
                <m:rPr>
                  <m:sty m:val="p"/>
                </m:rPr>
                <m:t>−</m:t>
              </m:r>
              <m:sSub>
                <m:e>
                  <m:acc>
                    <m:accPr>
                      <m:chr m:val="‾"/>
                    </m:accPr>
                    <m:e>
                      <m:r>
                        <m:t>y</m:t>
                      </m:r>
                    </m:e>
                  </m:acc>
                </m:e>
                <m:sub>
                  <m:r>
                    <m:t>2</m:t>
                  </m:r>
                </m:sub>
              </m:sSub>
            </m:e>
          </m:d>
        </m:oMath>
      </m:oMathPara>
    </w:p>
    <w:p>
      <w:pPr>
        <w:pStyle w:val="FirstParagraph"/>
      </w:pPr>
      <w:r>
        <w:t xml:space="preserve">donde</w:t>
      </w:r>
      <w:r>
        <w:t xml:space="preserve"> </w:t>
      </w:r>
      <m:oMath>
        <m:sSub>
          <m:e>
            <m:acc>
              <m:accPr>
                <m:chr m:val="‾"/>
              </m:accPr>
              <m:e>
                <m:r>
                  <m:t>y</m:t>
                </m:r>
              </m:e>
            </m:acc>
          </m:e>
          <m:sub>
            <m:r>
              <m:t>1</m:t>
            </m:r>
          </m:sub>
        </m:sSub>
      </m:oMath>
      <w:r>
        <w:t xml:space="preserve"> </w:t>
      </w:r>
      <w:r>
        <w:t xml:space="preserve">representa la media de referencia y</w:t>
      </w:r>
      <w:r>
        <w:t xml:space="preserve"> </w:t>
      </w:r>
      <m:oMath>
        <m:sSub>
          <m:e>
            <m:acc>
              <m:accPr>
                <m:chr m:val="‾"/>
              </m:accPr>
              <m:e>
                <m:r>
                  <m:t>y</m:t>
                </m:r>
              </m:e>
            </m:acc>
          </m:e>
          <m:sub>
            <m:r>
              <m:t>2</m:t>
            </m:r>
          </m:sub>
        </m:sSub>
      </m:oMath>
      <w:r>
        <w:t xml:space="preserve"> </w:t>
      </w:r>
      <w:r>
        <w:t xml:space="preserve">representa la media bajo la condicion de estabilidad.</w:t>
      </w:r>
    </w:p>
    <w:bookmarkEnd w:id="43"/>
    <w:bookmarkStart w:id="44" w:name="criterio-de-estabilidad"/>
    <w:p>
      <w:pPr>
        <w:pStyle w:val="Heading5"/>
      </w:pPr>
      <w:r>
        <w:t xml:space="preserve">2.2.11.3 Criterio de estabilidad</w:t>
      </w:r>
    </w:p>
    <w:p>
      <w:pPr>
        <w:pStyle w:val="FirstParagraph"/>
      </w:pPr>
      <w:r>
        <w:t xml:space="preserve">El criterio de estabilidad se cumplira cuando:</w:t>
      </w:r>
    </w:p>
    <w:p>
      <w:pPr>
        <w:pStyle w:val="BodyText"/>
      </w:pPr>
      <m:oMathPara>
        <m:oMathParaPr>
          <m:jc m:val="center"/>
        </m:oMathParaPr>
        <m:oMath>
          <m:r>
            <m:rPr>
              <m:sty m:val="p"/>
            </m:rPr>
            <m:t>Δ</m:t>
          </m:r>
          <m:r>
            <m:rPr>
              <m:sty m:val="p"/>
            </m:rPr>
            <m:t>≤</m:t>
          </m:r>
          <m:r>
            <m:t>0.3</m:t>
          </m:r>
          <m:r>
            <m:t> </m:t>
          </m:r>
          <m:sSub>
            <m:e>
              <m:r>
                <m:t>σ</m:t>
              </m:r>
            </m:e>
            <m:sub>
              <m:r>
                <m:t>p</m:t>
              </m:r>
              <m:r>
                <m:t>t</m:t>
              </m:r>
            </m:sub>
          </m:sSub>
        </m:oMath>
      </m:oMathPara>
    </w:p>
    <w:p>
      <w:pPr>
        <w:pStyle w:val="FirstParagraph"/>
      </w:pPr>
      <w:r>
        <w:t xml:space="preserve">Cuando esta desigualdad no se satisfaga, la contribucion por estabilidad debera incorporarse a la incertidumbre definitiva del valor asignado conforme a la expresion definida en la subseccion 7.9.2.</w:t>
      </w:r>
    </w:p>
    <w:bookmarkEnd w:id="44"/>
    <w:bookmarkEnd w:id="45"/>
    <w:bookmarkStart w:id="51" w:name="puntajes-de-desempeno"/>
    <w:p>
      <w:pPr>
        <w:pStyle w:val="Heading4"/>
      </w:pPr>
      <w:r>
        <w:t xml:space="preserve">2.2.12 Puntajes de desempeno</w:t>
      </w:r>
    </w:p>
    <w:bookmarkStart w:id="46" w:name="puntaje-z"/>
    <w:p>
      <w:pPr>
        <w:pStyle w:val="Heading5"/>
      </w:pPr>
      <w:r>
        <w:t xml:space="preserve">2.2.12.1 Puntaje z</w:t>
      </w:r>
    </w:p>
    <w:p>
      <w:pPr>
        <w:pStyle w:val="FirstParagraph"/>
      </w:pPr>
      <w:r>
        <w:t xml:space="preserve">El puntaje</w:t>
      </w:r>
      <w:r>
        <w:t xml:space="preserve"> </w:t>
      </w:r>
      <m:oMath>
        <m:r>
          <m:t>z</m:t>
        </m:r>
      </m:oMath>
      <w:r>
        <w:t xml:space="preserve"> </w:t>
      </w:r>
      <w:r>
        <w:t xml:space="preserve">se utilizara cuando la incertidumbre del valor asignado sea despreciable frente a</w:t>
      </w:r>
      <w:r>
        <w:t xml:space="preserve"> </w:t>
      </w:r>
      <m:oMath>
        <m:sSub>
          <m:e>
            <m:r>
              <m:t>σ</m:t>
            </m:r>
          </m:e>
          <m:sub>
            <m:r>
              <m:t>p</m:t>
            </m:r>
            <m:r>
              <m:t>t</m:t>
            </m:r>
          </m:sub>
        </m:sSub>
      </m:oMath>
      <w:r>
        <w:t xml:space="preserve"> </w:t>
      </w:r>
      <w:r>
        <w:t xml:space="preserve">y se calculara mediante:</w:t>
      </w:r>
    </w:p>
    <w:p>
      <w:pPr>
        <w:pStyle w:val="BodyText"/>
      </w:pPr>
      <m:oMathPara>
        <m:oMathParaPr>
          <m:jc m:val="center"/>
        </m:oMathParaPr>
        <m:oMath>
          <m:r>
            <m:t>z</m:t>
          </m:r>
          <m:r>
            <m:rPr>
              <m:sty m:val="p"/>
            </m:rPr>
            <m:t>=</m:t>
          </m:r>
          <m:f>
            <m:fPr>
              <m:type m:val="bar"/>
            </m:fPr>
            <m:num>
              <m:r>
                <m:t>x</m:t>
              </m:r>
              <m:r>
                <m:rPr>
                  <m:sty m:val="p"/>
                </m:rPr>
                <m:t>−</m:t>
              </m:r>
              <m:sSub>
                <m:e>
                  <m:r>
                    <m:t>x</m:t>
                  </m:r>
                </m:e>
                <m:sub>
                  <m:r>
                    <m:t>p</m:t>
                  </m:r>
                  <m:r>
                    <m:t>t</m:t>
                  </m:r>
                </m:sub>
              </m:sSub>
            </m:num>
            <m:den>
              <m:sSub>
                <m:e>
                  <m:r>
                    <m:t>σ</m:t>
                  </m:r>
                </m:e>
                <m:sub>
                  <m:r>
                    <m:t>p</m:t>
                  </m:r>
                  <m:r>
                    <m:t>t</m:t>
                  </m:r>
                </m:sub>
              </m:sSub>
            </m:den>
          </m:f>
        </m:oMath>
      </m:oMathPara>
    </w:p>
    <w:bookmarkEnd w:id="46"/>
    <w:bookmarkStart w:id="47" w:name="puntaje-z-prima"/>
    <w:p>
      <w:pPr>
        <w:pStyle w:val="Heading5"/>
      </w:pPr>
      <w:r>
        <w:t xml:space="preserve">2.2.12.2 Puntaje z prima</w:t>
      </w:r>
    </w:p>
    <w:p>
      <w:pPr>
        <w:pStyle w:val="FirstParagraph"/>
      </w:pPr>
      <w:r>
        <w:t xml:space="preserve">El puntaje</w:t>
      </w:r>
      <w:r>
        <w:t xml:space="preserve"> </w:t>
      </w:r>
      <m:oMath>
        <m:sSup>
          <m:e>
            <m:r>
              <m:t>z</m:t>
            </m:r>
          </m:e>
          <m:sup>
            <m:r>
              <m:rPr>
                <m:sty m:val="p"/>
              </m:rPr>
              <m:t>′</m:t>
            </m:r>
          </m:sup>
        </m:sSup>
      </m:oMath>
      <w:r>
        <w:t xml:space="preserve"> </w:t>
      </w:r>
      <w:r>
        <w:t xml:space="preserve">se utilizara cuando la incertidumbre del valor asignado deba incorporarse en el denominador y se calculara mediante:</w:t>
      </w:r>
    </w:p>
    <w:p>
      <w:pPr>
        <w:pStyle w:val="BodyText"/>
      </w:pPr>
      <m:oMathPara>
        <m:oMathParaPr>
          <m:jc m:val="center"/>
        </m:oMathParaPr>
        <m:oMath>
          <m:sSup>
            <m:e>
              <m:r>
                <m:t>z</m:t>
              </m:r>
            </m:e>
            <m:sup>
              <m:r>
                <m:rPr>
                  <m:sty m:val="p"/>
                </m:rPr>
                <m:t>′</m:t>
              </m:r>
            </m:sup>
          </m:sSup>
          <m:r>
            <m:rPr>
              <m:sty m:val="p"/>
            </m:rPr>
            <m:t>=</m:t>
          </m:r>
          <m:f>
            <m:fPr>
              <m:type m:val="bar"/>
            </m:fPr>
            <m:num>
              <m:r>
                <m:t>x</m:t>
              </m:r>
              <m:r>
                <m:rPr>
                  <m:sty m:val="p"/>
                </m:rPr>
                <m:t>−</m:t>
              </m:r>
              <m:sSub>
                <m:e>
                  <m:r>
                    <m:t>x</m:t>
                  </m:r>
                </m:e>
                <m:sub>
                  <m:r>
                    <m:t>p</m:t>
                  </m:r>
                  <m:r>
                    <m:t>t</m:t>
                  </m:r>
                </m:sub>
              </m:sSub>
            </m:num>
            <m:den>
              <m:rad>
                <m:radPr>
                  <m:degHide m:val="on"/>
                </m:radPr>
                <m:deg/>
                <m:e>
                  <m:sSubSup>
                    <m:e>
                      <m:r>
                        <m:t>σ</m:t>
                      </m:r>
                    </m:e>
                    <m:sub>
                      <m:r>
                        <m:t>p</m:t>
                      </m:r>
                      <m:r>
                        <m:t>t</m:t>
                      </m:r>
                    </m:sub>
                    <m:sup>
                      <m:r>
                        <m:t>2</m:t>
                      </m:r>
                    </m:sup>
                  </m:sSubSup>
                  <m:r>
                    <m:rPr>
                      <m:sty m:val="p"/>
                    </m:rPr>
                    <m:t>+</m:t>
                  </m:r>
                  <m:sSubSup>
                    <m:e>
                      <m:r>
                        <m:t>u</m:t>
                      </m:r>
                    </m:e>
                    <m:sub>
                      <m:r>
                        <m:t>x</m:t>
                      </m:r>
                      <m:r>
                        <m:t>p</m:t>
                      </m:r>
                      <m:r>
                        <m:t>t</m:t>
                      </m:r>
                    </m:sub>
                    <m:sup>
                      <m:r>
                        <m:t>2</m:t>
                      </m:r>
                    </m:sup>
                  </m:sSubSup>
                </m:e>
              </m:rad>
            </m:den>
          </m:f>
        </m:oMath>
      </m:oMathPara>
    </w:p>
    <w:bookmarkEnd w:id="47"/>
    <w:bookmarkStart w:id="48" w:name="puntaje-zeta"/>
    <w:p>
      <w:pPr>
        <w:pStyle w:val="Heading5"/>
      </w:pPr>
      <w:r>
        <w:t xml:space="preserve">2.2.12.3 Puntaje zeta</w:t>
      </w:r>
    </w:p>
    <w:p>
      <w:pPr>
        <w:pStyle w:val="FirstParagraph"/>
      </w:pPr>
      <w:r>
        <w:t xml:space="preserve">El puntaje</w:t>
      </w:r>
      <w:r>
        <w:t xml:space="preserve"> </w:t>
      </w:r>
      <m:oMath>
        <m:r>
          <m:t>ζ</m:t>
        </m:r>
      </m:oMath>
      <w:r>
        <w:t xml:space="preserve"> </w:t>
      </w:r>
      <w:r>
        <w:t xml:space="preserve">se utilizara cuando se evalua la compatibilidad entre el resultado del participante y el valor asignado considerando incertidumbres estandar, y se calculara mediante:</w:t>
      </w:r>
    </w:p>
    <w:p>
      <w:pPr>
        <w:pStyle w:val="BodyText"/>
      </w:pPr>
      <m:oMathPara>
        <m:oMathParaPr>
          <m:jc m:val="center"/>
        </m:oMathParaPr>
        <m:oMath>
          <m:r>
            <m:t>ζ</m:t>
          </m:r>
          <m:r>
            <m:rPr>
              <m:sty m:val="p"/>
            </m:rPr>
            <m:t>=</m:t>
          </m:r>
          <m:f>
            <m:fPr>
              <m:type m:val="bar"/>
            </m:fPr>
            <m:num>
              <m:r>
                <m:t>x</m:t>
              </m:r>
              <m:r>
                <m:rPr>
                  <m:sty m:val="p"/>
                </m:rPr>
                <m:t>−</m:t>
              </m:r>
              <m:sSub>
                <m:e>
                  <m:r>
                    <m:t>x</m:t>
                  </m:r>
                </m:e>
                <m:sub>
                  <m:r>
                    <m:t>p</m:t>
                  </m:r>
                  <m:r>
                    <m:t>t</m:t>
                  </m:r>
                </m:sub>
              </m:sSub>
            </m:num>
            <m:den>
              <m:rad>
                <m:radPr>
                  <m:degHide m:val="on"/>
                </m:radPr>
                <m:deg/>
                <m:e>
                  <m:sSubSup>
                    <m:e>
                      <m:r>
                        <m:t>u</m:t>
                      </m:r>
                    </m:e>
                    <m:sub>
                      <m:r>
                        <m:t>x</m:t>
                      </m:r>
                    </m:sub>
                    <m:sup>
                      <m:r>
                        <m:t>2</m:t>
                      </m:r>
                    </m:sup>
                  </m:sSubSup>
                  <m:r>
                    <m:rPr>
                      <m:sty m:val="p"/>
                    </m:rPr>
                    <m:t>+</m:t>
                  </m:r>
                  <m:sSubSup>
                    <m:e>
                      <m:r>
                        <m:t>u</m:t>
                      </m:r>
                    </m:e>
                    <m:sub>
                      <m:r>
                        <m:t>x</m:t>
                      </m:r>
                      <m:r>
                        <m:t>p</m:t>
                      </m:r>
                      <m:r>
                        <m:t>t</m:t>
                      </m:r>
                    </m:sub>
                    <m:sup>
                      <m:r>
                        <m:t>2</m:t>
                      </m:r>
                    </m:sup>
                  </m:sSubSup>
                </m:e>
              </m:rad>
            </m:den>
          </m:f>
        </m:oMath>
      </m:oMathPara>
    </w:p>
    <w:bookmarkEnd w:id="48"/>
    <w:bookmarkStart w:id="49" w:name="puntaje-en"/>
    <w:p>
      <w:pPr>
        <w:pStyle w:val="Heading5"/>
      </w:pPr>
      <w:r>
        <w:t xml:space="preserve">2.2.12.4 Puntaje En</w:t>
      </w:r>
    </w:p>
    <w:p>
      <w:pPr>
        <w:pStyle w:val="FirstParagraph"/>
      </w:pPr>
      <w:r>
        <w:t xml:space="preserve">El puntaje</w:t>
      </w:r>
      <w:r>
        <w:t xml:space="preserve"> </w:t>
      </w:r>
      <m:oMath>
        <m:sSub>
          <m:e>
            <m:r>
              <m:t>E</m:t>
            </m:r>
          </m:e>
          <m:sub>
            <m:r>
              <m:t>n</m:t>
            </m:r>
          </m:sub>
        </m:sSub>
      </m:oMath>
      <w:r>
        <w:t xml:space="preserve"> </w:t>
      </w:r>
      <w:r>
        <w:t xml:space="preserve">se utilizara para evaluar compatibilidad metrologica cuando se disponga de incertidumbres expandidas, y se calculara mediante:</w:t>
      </w:r>
    </w:p>
    <w:p>
      <w:pPr>
        <w:pStyle w:val="BodyText"/>
      </w:pPr>
      <m:oMathPara>
        <m:oMathParaPr>
          <m:jc m:val="center"/>
        </m:oMathParaPr>
        <m:oMath>
          <m:sSub>
            <m:e>
              <m:r>
                <m:t>E</m:t>
              </m:r>
            </m:e>
            <m:sub>
              <m:r>
                <m:t>n</m:t>
              </m:r>
            </m:sub>
          </m:sSub>
          <m:r>
            <m:rPr>
              <m:sty m:val="p"/>
            </m:rPr>
            <m:t>=</m:t>
          </m:r>
          <m:f>
            <m:fPr>
              <m:type m:val="bar"/>
            </m:fPr>
            <m:num>
              <m:r>
                <m:t>x</m:t>
              </m:r>
              <m:r>
                <m:rPr>
                  <m:sty m:val="p"/>
                </m:rPr>
                <m:t>−</m:t>
              </m:r>
              <m:sSub>
                <m:e>
                  <m:r>
                    <m:t>x</m:t>
                  </m:r>
                </m:e>
                <m:sub>
                  <m:r>
                    <m:t>p</m:t>
                  </m:r>
                  <m:r>
                    <m:t>t</m:t>
                  </m:r>
                </m:sub>
              </m:sSub>
            </m:num>
            <m:den>
              <m:rad>
                <m:radPr>
                  <m:degHide m:val="on"/>
                </m:radPr>
                <m:deg/>
                <m:e>
                  <m:sSubSup>
                    <m:e>
                      <m:r>
                        <m:t>U</m:t>
                      </m:r>
                    </m:e>
                    <m:sub>
                      <m:r>
                        <m:t>x</m:t>
                      </m:r>
                    </m:sub>
                    <m:sup>
                      <m:r>
                        <m:t>2</m:t>
                      </m:r>
                    </m:sup>
                  </m:sSubSup>
                  <m:r>
                    <m:rPr>
                      <m:sty m:val="p"/>
                    </m:rPr>
                    <m:t>+</m:t>
                  </m:r>
                  <m:sSubSup>
                    <m:e>
                      <m:r>
                        <m:t>U</m:t>
                      </m:r>
                    </m:e>
                    <m:sub>
                      <m:r>
                        <m:t>x</m:t>
                      </m:r>
                      <m:r>
                        <m:t>p</m:t>
                      </m:r>
                      <m:r>
                        <m:t>t</m:t>
                      </m:r>
                    </m:sub>
                    <m:sup>
                      <m:r>
                        <m:t>2</m:t>
                      </m:r>
                    </m:sup>
                  </m:sSubSup>
                </m:e>
              </m:rad>
            </m:den>
          </m:f>
        </m:oMath>
      </m:oMathPara>
    </w:p>
    <w:bookmarkEnd w:id="49"/>
    <w:bookmarkStart w:id="50" w:name="criterios-de-interpretacion"/>
    <w:p>
      <w:pPr>
        <w:pStyle w:val="Heading5"/>
      </w:pPr>
      <w:r>
        <w:t xml:space="preserve">2.2.12.5 Criterios de interpretacion</w:t>
      </w:r>
    </w:p>
    <w:p>
      <w:pPr>
        <w:pStyle w:val="FirstParagraph"/>
      </w:pPr>
      <w:r>
        <w:t xml:space="preserve">La interpretacion de los puntajes</w:t>
      </w:r>
      <w:r>
        <w:t xml:space="preserve"> </w:t>
      </w:r>
      <m:oMath>
        <m:r>
          <m:t>z</m:t>
        </m:r>
      </m:oMath>
      <w:r>
        <w:t xml:space="preserve">,</w:t>
      </w:r>
      <w:r>
        <w:t xml:space="preserve"> </w:t>
      </w:r>
      <m:oMath>
        <m:sSup>
          <m:e>
            <m:r>
              <m:t>z</m:t>
            </m:r>
          </m:e>
          <m:sup>
            <m:r>
              <m:rPr>
                <m:sty m:val="p"/>
              </m:rPr>
              <m:t>′</m:t>
            </m:r>
          </m:sup>
        </m:sSup>
      </m:oMath>
      <w:r>
        <w:t xml:space="preserve"> </w:t>
      </w:r>
      <w:r>
        <w:t xml:space="preserve">y</w:t>
      </w:r>
      <w:r>
        <w:t xml:space="preserve"> </w:t>
      </w:r>
      <m:oMath>
        <m:r>
          <m:t>ζ</m:t>
        </m:r>
      </m:oMath>
      <w:r>
        <w:t xml:space="preserve"> </w:t>
      </w:r>
      <w:r>
        <w:t xml:space="preserve">se realizara con base en los siguientes intervalos de decision: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Puntaje z, z’,</w:t>
            </w:r>
            <w:r>
              <w:t xml:space="preserve"> </w:t>
            </w:r>
            <m:oMath>
              <m:r>
                <m:t>ζ</m:t>
              </m:r>
            </m:oMath>
          </w:p>
        </w:tc>
        <w:tc>
          <w:tcPr/>
          <w:p>
            <w:pPr>
              <w:pStyle w:val="Compact"/>
            </w:pPr>
            <w:r>
              <w:t xml:space="preserve">Interpretacion</w:t>
            </w:r>
          </w:p>
        </w:tc>
      </w:tr>
      <w:tr>
        <w:tc>
          <w:tcPr/>
          <w:p>
            <w:pPr>
              <w:pStyle w:val="Compact"/>
            </w:pPr>
            <m:oMath>
              <m:r>
                <m:rPr>
                  <m:sty m:val="p"/>
                </m:rPr>
                <m:t>|</m:t>
              </m:r>
              <m:r>
                <m:t>s</m:t>
              </m:r>
              <m:r>
                <m:t>c</m:t>
              </m:r>
              <m:r>
                <m:t>o</m:t>
              </m:r>
              <m:r>
                <m:t>r</m:t>
              </m:r>
              <m:r>
                <m:t>e</m:t>
              </m:r>
              <m:r>
                <m:rPr>
                  <m:sty m:val="p"/>
                </m:rPr>
                <m:t>|</m:t>
              </m:r>
              <m:r>
                <m:rPr>
                  <m:sty m:val="p"/>
                </m:rPr>
                <m:t>≤</m:t>
              </m:r>
              <m:r>
                <m:t>2</m:t>
              </m:r>
            </m:oMath>
          </w:p>
        </w:tc>
        <w:tc>
          <w:tcPr/>
          <w:p>
            <w:pPr>
              <w:pStyle w:val="Compact"/>
            </w:pPr>
            <w:r>
              <w:t xml:space="preserve">Satisfactorio</w:t>
            </w:r>
          </w:p>
        </w:tc>
      </w:tr>
      <w:tr>
        <w:tc>
          <w:tcPr/>
          <w:p>
            <w:pPr>
              <w:pStyle w:val="Compact"/>
            </w:pPr>
            <m:oMath>
              <m:r>
                <m:t>2</m:t>
              </m:r>
              <m:r>
                <m:rPr>
                  <m:sty m:val="p"/>
                </m:rPr>
                <m:t>&lt;</m:t>
              </m:r>
              <m:r>
                <m:rPr>
                  <m:sty m:val="p"/>
                </m:rPr>
                <m:t>|</m:t>
              </m:r>
              <m:r>
                <m:t>s</m:t>
              </m:r>
              <m:r>
                <m:t>c</m:t>
              </m:r>
              <m:r>
                <m:t>o</m:t>
              </m:r>
              <m:r>
                <m:t>r</m:t>
              </m:r>
              <m:r>
                <m:t>e</m:t>
              </m:r>
              <m:r>
                <m:rPr>
                  <m:sty m:val="p"/>
                </m:rPr>
                <m:t>|</m:t>
              </m:r>
              <m:r>
                <m:rPr>
                  <m:sty m:val="p"/>
                </m:rPr>
                <m:t>&lt;</m:t>
              </m:r>
              <m:r>
                <m:t>3</m:t>
              </m:r>
            </m:oMath>
          </w:p>
        </w:tc>
        <w:tc>
          <w:tcPr/>
          <w:p>
            <w:pPr>
              <w:pStyle w:val="Compact"/>
            </w:pPr>
            <w:r>
              <w:t xml:space="preserve">Cuestionable</w:t>
            </w:r>
          </w:p>
        </w:tc>
      </w:tr>
      <w:tr>
        <w:tc>
          <w:tcPr/>
          <w:p>
            <w:pPr>
              <w:pStyle w:val="Compact"/>
            </w:pPr>
            <m:oMath>
              <m:r>
                <m:rPr>
                  <m:sty m:val="p"/>
                </m:rPr>
                <m:t>|</m:t>
              </m:r>
              <m:r>
                <m:t>s</m:t>
              </m:r>
              <m:r>
                <m:t>c</m:t>
              </m:r>
              <m:r>
                <m:t>o</m:t>
              </m:r>
              <m:r>
                <m:t>r</m:t>
              </m:r>
              <m:r>
                <m:t>e</m:t>
              </m:r>
              <m:r>
                <m:rPr>
                  <m:sty m:val="p"/>
                </m:rPr>
                <m:t>|</m:t>
              </m:r>
              <m:r>
                <m:rPr>
                  <m:sty m:val="p"/>
                </m:rPr>
                <m:t>≥</m:t>
              </m:r>
              <m:r>
                <m:t>3</m:t>
              </m:r>
            </m:oMath>
          </w:p>
        </w:tc>
        <w:tc>
          <w:tcPr/>
          <w:p>
            <w:pPr>
              <w:pStyle w:val="Compact"/>
            </w:pPr>
            <w:r>
              <w:t xml:space="preserve">No satisfactorio</w:t>
            </w:r>
          </w:p>
        </w:tc>
      </w:tr>
    </w:tbl>
    <w:p>
      <w:pPr>
        <w:pStyle w:val="BodyText"/>
      </w:pPr>
      <w:r>
        <w:t xml:space="preserve">La interpretacion del puntaje</w:t>
      </w:r>
      <w:r>
        <w:t xml:space="preserve"> </w:t>
      </w:r>
      <m:oMath>
        <m:sSub>
          <m:e>
            <m:r>
              <m:t>E</m:t>
            </m:r>
          </m:e>
          <m:sub>
            <m:r>
              <m:t>n</m:t>
            </m:r>
          </m:sub>
        </m:sSub>
      </m:oMath>
      <w:r>
        <w:t xml:space="preserve"> </w:t>
      </w:r>
      <w:r>
        <w:t xml:space="preserve">se realizara segun la siguiente regla: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Puntaje En</w:t>
            </w:r>
          </w:p>
        </w:tc>
        <w:tc>
          <w:tcPr/>
          <w:p>
            <w:pPr>
              <w:pStyle w:val="Compact"/>
            </w:pPr>
            <w:r>
              <w:t xml:space="preserve">Interpretacion</w:t>
            </w:r>
          </w:p>
        </w:tc>
      </w:tr>
      <w:tr>
        <w:tc>
          <w:tcPr/>
          <w:p>
            <w:pPr>
              <w:pStyle w:val="Compact"/>
            </w:pPr>
            <m:oMath>
              <m:r>
                <m:rPr>
                  <m:sty m:val="p"/>
                </m:rPr>
                <m:t>|</m:t>
              </m:r>
              <m:sSub>
                <m:e>
                  <m:r>
                    <m:t>E</m:t>
                  </m:r>
                </m:e>
                <m:sub>
                  <m:r>
                    <m:t>n</m:t>
                  </m:r>
                </m:sub>
              </m:sSub>
              <m:r>
                <m:rPr>
                  <m:sty m:val="p"/>
                </m:rPr>
                <m:t>|</m:t>
              </m:r>
              <m:r>
                <m:rPr>
                  <m:sty m:val="p"/>
                </m:rPr>
                <m:t>≤</m:t>
              </m:r>
              <m:r>
                <m:t>1</m:t>
              </m:r>
            </m:oMath>
          </w:p>
        </w:tc>
        <w:tc>
          <w:tcPr/>
          <w:p>
            <w:pPr>
              <w:pStyle w:val="Compact"/>
            </w:pPr>
            <w:r>
              <w:t xml:space="preserve">Satisfactorio</w:t>
            </w:r>
          </w:p>
        </w:tc>
      </w:tr>
      <w:tr>
        <w:tc>
          <w:tcPr/>
          <w:p>
            <w:pPr>
              <w:pStyle w:val="Compact"/>
            </w:pPr>
            <m:oMath>
              <m:r>
                <m:rPr>
                  <m:sty m:val="p"/>
                </m:rPr>
                <m:t>|</m:t>
              </m:r>
              <m:sSub>
                <m:e>
                  <m:r>
                    <m:t>E</m:t>
                  </m:r>
                </m:e>
                <m:sub>
                  <m:r>
                    <m:t>n</m:t>
                  </m:r>
                </m:sub>
              </m:sSub>
              <m:r>
                <m:rPr>
                  <m:sty m:val="p"/>
                </m:rPr>
                <m:t>|</m:t>
              </m:r>
              <m:r>
                <m:rPr>
                  <m:sty m:val="p"/>
                </m:rPr>
                <m:t>&gt;</m:t>
              </m:r>
              <m:r>
                <m:t>1</m:t>
              </m:r>
            </m:oMath>
          </w:p>
        </w:tc>
        <w:tc>
          <w:tcPr/>
          <w:p>
            <w:pPr>
              <w:pStyle w:val="Compact"/>
            </w:pPr>
            <w:r>
              <w:t xml:space="preserve">No satisfactorio</w:t>
            </w:r>
          </w:p>
        </w:tc>
      </w:tr>
    </w:tbl>
    <w:p>
      <w:pPr>
        <w:pStyle w:val="BodyText"/>
      </w:pPr>
      <w:r>
        <w:t xml:space="preserve">La categoria cuestionable no aplica a</w:t>
      </w:r>
      <w:r>
        <w:t xml:space="preserve"> </w:t>
      </w:r>
      <m:oMath>
        <m:sSub>
          <m:e>
            <m:r>
              <m:t>E</m:t>
            </m:r>
          </m:e>
          <m:sub>
            <m:r>
              <m:t>n</m:t>
            </m:r>
          </m:sub>
        </m:sSub>
      </m:oMath>
      <w:r>
        <w:t xml:space="preserve"> </w:t>
      </w:r>
      <w:r>
        <w:t xml:space="preserve">debido a que este puntaje se fundamenta en incertidumbres expandidas y expresa una condicion de compatibilidad metrologica con criterio binario de aceptacion.</w:t>
      </w:r>
    </w:p>
    <w:bookmarkEnd w:id="50"/>
    <w:bookmarkEnd w:id="51"/>
    <w:bookmarkEnd w:id="52"/>
    <w:bookmarkStart w:id="53" w:name="validacion-del-diseno-estadistico"/>
    <w:p>
      <w:pPr>
        <w:pStyle w:val="Heading3"/>
      </w:pPr>
      <w:r>
        <w:t xml:space="preserve">2.3 Validacion del diseno estadistico</w:t>
      </w:r>
    </w:p>
    <w:p>
      <w:pPr>
        <w:pStyle w:val="FirstParagraph"/>
      </w:pPr>
      <w:r>
        <w:t xml:space="preserve">La validacion del diseno estadistico y de sus calculos asociados se realizara mediante trazabilidad directa a la implementacion consolidada en el paquete R</w:t>
      </w:r>
      <w:r>
        <w:t xml:space="preserve"> </w:t>
      </w:r>
      <w:r>
        <w:rPr>
          <w:rStyle w:val="VerbatimChar"/>
        </w:rPr>
        <w:t xml:space="preserve">ptcalc</w:t>
      </w:r>
      <w:r>
        <w:t xml:space="preserve"> </w:t>
      </w:r>
      <w:r>
        <w:t xml:space="preserve">y a los documentos internos de validacion contra hojas de calculo de referencia alineadas con ISO 13528:2022, Anexo C. La verificacion debe demostrar correspondencia entre formulas documentadas, constantes numericas, reglas de decision, salidas computacionales e interpretacion de resultados. La expresion</w:t>
      </w:r>
      <w:r>
        <w:t xml:space="preserve"> </w:t>
      </w:r>
      <w:r>
        <w:t xml:space="preserve">“software validado”</w:t>
      </w:r>
      <w:r>
        <w:t xml:space="preserve"> </w:t>
      </w:r>
      <w:r>
        <w:t xml:space="preserve">dentro del presente procedimiento se entendera especificamente como el paquete R</w:t>
      </w:r>
      <w:r>
        <w:t xml:space="preserve"> </w:t>
      </w:r>
      <w:r>
        <w:rPr>
          <w:rStyle w:val="VerbatimChar"/>
        </w:rPr>
        <w:t xml:space="preserve">ptcalc</w:t>
      </w:r>
      <w:r>
        <w:t xml:space="preserve"> </w:t>
      </w:r>
      <w:r>
        <w:t xml:space="preserve">desarrollado para CALAIRE con soporte de CALAIRE / UNAL-INM.</w:t>
      </w:r>
    </w:p>
    <w:bookmarkEnd w:id="53"/>
    <w:bookmarkStart w:id="54" w:name="registros"/>
    <w:p>
      <w:pPr>
        <w:pStyle w:val="Heading3"/>
      </w:pPr>
      <w:r>
        <w:t xml:space="preserve">2.4 Registros</w:t>
      </w:r>
    </w:p>
    <w:p>
      <w:pPr>
        <w:pStyle w:val="FirstParagraph"/>
      </w:pPr>
      <w:r>
        <w:t xml:space="preserve">Debera conservarse evidencia documental del conjunto de datos utilizado, del metodo seleccionado para el valor asignado, de la desviacion estandar de evaluacion adoptada, de la incertidumbre calculada, de los resultados de homogeneidad y estabilidad, de los puntajes generados para cada participante y de la version del algoritmo o paquete computacional empleado. Cuando se utilice el Algoritmo A, el registro debera incluir al menos el numero de iteraciones, el estado de convergencia y la trazabilidad de los valores winsorizados.</w:t>
      </w:r>
    </w:p>
    <w:bookmarkEnd w:id="54"/>
    <w:bookmarkStart w:id="55" w:name="Xd39f5e45393479cd0c5426aa6dcf307b047daf3"/>
    <w:p>
      <w:pPr>
        <w:pStyle w:val="Heading3"/>
      </w:pPr>
      <w:r>
        <w:t xml:space="preserve">2.5 Control de cambios tecnicos incorporados en esta version</w:t>
      </w:r>
    </w:p>
    <w:p>
      <w:pPr>
        <w:pStyle w:val="FirstParagraph"/>
      </w:pPr>
      <w:r>
        <w:t xml:space="preserve">La presente version incorpora, como criterio operativo oficial, el uso del factor 1.483 en MADe, el uso obligatorio del factor 1.134 en la actualizacion de</w:t>
      </w:r>
      <w:r>
        <w:t xml:space="preserve"> </w:t>
      </w:r>
      <m:oMath>
        <m:sSup>
          <m:e>
            <m:r>
              <m:t>s</m:t>
            </m:r>
          </m:e>
          <m:sup>
            <m:r>
              <m:rPr>
                <m:sty m:val="p"/>
              </m:rPr>
              <m:t>*</m:t>
            </m:r>
          </m:sup>
        </m:sSup>
      </m:oMath>
      <w:r>
        <w:t xml:space="preserve"> </w:t>
      </w:r>
      <w:r>
        <w:t xml:space="preserve">dentro del Algoritmo A, la referencia normativa correcta a ISO 13528:2022, la aplicacion del criterio de convergencia por tolerancia absoluta de</w:t>
      </w:r>
      <w:r>
        <w:t xml:space="preserve"> </w:t>
      </w:r>
      <m:oMath>
        <m:r>
          <m:t>1</m:t>
        </m:r>
        <m:r>
          <m:rPr>
            <m:sty m:val="p"/>
          </m:rPr>
          <m:t>×</m:t>
        </m:r>
        <m:sSup>
          <m:e>
            <m:r>
              <m:t>10</m:t>
            </m:r>
          </m:e>
          <m:sup>
            <m:r>
              <m:rPr>
                <m:sty m:val="p"/>
              </m:rPr>
              <m:t>−</m:t>
            </m:r>
            <m:r>
              <m:t>4</m:t>
            </m:r>
          </m:sup>
        </m:sSup>
      </m:oMath>
      <w:r>
        <w:t xml:space="preserve"> </w:t>
      </w:r>
      <w:r>
        <w:t xml:space="preserve">con maximo de 50 iteraciones, la integracion explicita de</w:t>
      </w:r>
      <w:r>
        <w:t xml:space="preserve"> </w:t>
      </w:r>
      <m:oMath>
        <m:sSub>
          <m:e>
            <m:r>
              <m:t>u</m:t>
            </m:r>
          </m:e>
          <m:sub>
            <m:r>
              <m:t>h</m:t>
            </m:r>
            <m:r>
              <m:t>o</m:t>
            </m:r>
            <m:r>
              <m:t>m</m:t>
            </m:r>
          </m:sub>
        </m:sSub>
      </m:oMath>
      <w:r>
        <w:t xml:space="preserve"> </w:t>
      </w:r>
      <w:r>
        <w:t xml:space="preserve">y</w:t>
      </w:r>
      <w:r>
        <w:t xml:space="preserve"> </w:t>
      </w:r>
      <m:oMath>
        <m:sSub>
          <m:e>
            <m:r>
              <m:t>u</m:t>
            </m:r>
          </m:e>
          <m:sub>
            <m:r>
              <m:t>s</m:t>
            </m:r>
            <m:r>
              <m:t>t</m:t>
            </m:r>
            <m:r>
              <m:t>a</m:t>
            </m:r>
            <m:r>
              <m:t>b</m:t>
            </m:r>
          </m:sub>
        </m:sSub>
      </m:oMath>
      <w:r>
        <w:t xml:space="preserve"> </w:t>
      </w:r>
      <w:r>
        <w:t xml:space="preserve">en la incertidumbre definitiva del valor asignado y la formalizacion de los criterios de interpretacion para los puntajes</w:t>
      </w:r>
      <w:r>
        <w:t xml:space="preserve"> </w:t>
      </w:r>
      <m:oMath>
        <m:r>
          <m:t>z</m:t>
        </m:r>
      </m:oMath>
      <w:r>
        <w:t xml:space="preserve">,</w:t>
      </w:r>
      <w:r>
        <w:t xml:space="preserve"> </w:t>
      </w:r>
      <m:oMath>
        <m:sSup>
          <m:e>
            <m:r>
              <m:t>z</m:t>
            </m:r>
          </m:e>
          <m:sup>
            <m:r>
              <m:rPr>
                <m:sty m:val="p"/>
              </m:rPr>
              <m:t>′</m:t>
            </m:r>
          </m:sup>
        </m:sSup>
      </m:oMath>
      <w:r>
        <w:t xml:space="preserve">,</w:t>
      </w:r>
      <w:r>
        <w:t xml:space="preserve"> </w:t>
      </w:r>
      <m:oMath>
        <m:r>
          <m:t>ζ</m:t>
        </m:r>
      </m:oMath>
      <w:r>
        <w:t xml:space="preserve"> </w:t>
      </w:r>
      <w:r>
        <w:t xml:space="preserve">y</w:t>
      </w:r>
      <w:r>
        <w:t xml:space="preserve"> </w:t>
      </w:r>
      <m:oMath>
        <m:sSub>
          <m:e>
            <m:r>
              <m:t>E</m:t>
            </m:r>
          </m:e>
          <m:sub>
            <m:r>
              <m:t>n</m:t>
            </m:r>
          </m:sub>
        </m:sSub>
      </m:oMath>
      <w:r>
        <w:t xml:space="preserve">.</w:t>
      </w:r>
    </w:p>
    <w:bookmarkEnd w:id="55"/>
    <w:bookmarkEnd w:id="56"/>
    <w:bookmarkStart w:id="57" w:name="bloque-de-firmas"/>
    <w:p>
      <w:pPr>
        <w:pStyle w:val="Heading2"/>
      </w:pPr>
      <w:r>
        <w:t xml:space="preserve">BLOQUE DE FIRMAS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Informacion</w:t>
            </w:r>
          </w:p>
        </w:tc>
      </w:tr>
      <w:tr>
        <w:tc>
          <w:tcPr/>
          <w:p>
            <w:pPr>
              <w:pStyle w:val="Compact"/>
            </w:pPr>
            <w:r>
              <w:t xml:space="preserve">REVISO</w:t>
            </w:r>
          </w:p>
        </w:tc>
        <w:tc>
          <w:tcPr/>
          <w:p>
            <w:pPr>
              <w:pStyle w:val="Compact"/>
            </w:pPr>
          </w:p>
        </w:tc>
      </w:tr>
      <w:tr>
        <w:tc>
          <w:tcPr/>
          <w:p>
            <w:pPr>
              <w:pStyle w:val="Compact"/>
            </w:pPr>
            <w:r>
              <w:t xml:space="preserve">ROL</w:t>
            </w:r>
          </w:p>
        </w:tc>
        <w:tc>
          <w:tcPr/>
          <w:p>
            <w:pPr>
              <w:pStyle w:val="Compact"/>
            </w:pPr>
          </w:p>
        </w:tc>
      </w:tr>
      <w:tr>
        <w:tc>
          <w:tcPr/>
          <w:p>
            <w:pPr>
              <w:pStyle w:val="Compact"/>
            </w:pPr>
            <w:r>
              <w:t xml:space="preserve">FECHA</w:t>
            </w:r>
          </w:p>
        </w:tc>
        <w:tc>
          <w:tcPr/>
          <w:p>
            <w:pPr>
              <w:pStyle w:val="Compact"/>
            </w:pPr>
          </w:p>
        </w:tc>
      </w:tr>
      <w:tr>
        <w:tc>
          <w:tcPr/>
          <w:p>
            <w:pPr>
              <w:pStyle w:val="Compact"/>
            </w:pPr>
            <w:r>
              <w:t xml:space="preserve">APROBO</w:t>
            </w:r>
          </w:p>
        </w:tc>
        <w:tc>
          <w:tcPr/>
          <w:p>
            <w:pPr>
              <w:pStyle w:val="Compact"/>
            </w:pPr>
          </w:p>
        </w:tc>
      </w:tr>
      <w:tr>
        <w:tc>
          <w:tcPr/>
          <w:p>
            <w:pPr>
              <w:pStyle w:val="Compact"/>
            </w:pPr>
            <w:r>
              <w:t xml:space="preserve">ROL</w:t>
            </w:r>
          </w:p>
        </w:tc>
        <w:tc>
          <w:tcPr/>
          <w:p>
            <w:pPr>
              <w:pStyle w:val="Compact"/>
            </w:pPr>
          </w:p>
        </w:tc>
      </w:tr>
      <w:tr>
        <w:tc>
          <w:tcPr/>
          <w:p>
            <w:pPr>
              <w:pStyle w:val="Compact"/>
            </w:pPr>
            <w:r>
              <w:t xml:space="preserve">FECHA</w:t>
            </w:r>
          </w:p>
        </w:tc>
        <w:tc>
          <w:tcPr/>
          <w:p>
            <w:pPr>
              <w:pStyle w:val="Compact"/>
            </w:pPr>
          </w:p>
        </w:tc>
      </w:tr>
    </w:tbl>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2026-03-12T15:29:27Z</dcterms:created>
  <dcterms:modified xsi:type="dcterms:W3CDTF">2026-03-12T15:29:27Z</dcterms:modified>
</cp:coreProperties>
</file>

<file path=docProps/custom.xml><?xml version="1.0" encoding="utf-8"?>
<Properties xmlns="http://schemas.openxmlformats.org/officeDocument/2006/custom-properties" xmlns:vt="http://schemas.openxmlformats.org/officeDocument/2006/docPropsVTypes"/>
</file>