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X9e767014e2e48bad021b8e6ed296bb2ec32ba78"/>
    <w:p>
      <w:pPr>
        <w:pStyle w:val="Heading1"/>
      </w:pPr>
      <w:r>
        <w:t xml:space="preserve">Manual de Usuario - Aplicación PT Versión 06</w:t>
      </w:r>
    </w:p>
    <w:p>
      <w:pPr>
        <w:pStyle w:val="FirstParagraph"/>
      </w:pPr>
      <w:r>
        <w:rPr>
          <w:b/>
          <w:bCs/>
        </w:rPr>
        <w:t xml:space="preserve">Fecha:</w:t>
      </w:r>
      <w:r>
        <w:t xml:space="preserve"> </w:t>
      </w:r>
      <w:r>
        <w:t xml:space="preserve">2026-01-24</w:t>
      </w:r>
      <w:r>
        <w:br/>
      </w:r>
      <w:r>
        <w:rPr>
          <w:b/>
          <w:bCs/>
        </w:rPr>
        <w:t xml:space="preserve">Versión:</w:t>
      </w:r>
      <w:r>
        <w:t xml:space="preserve"> </w:t>
      </w:r>
      <w:r>
        <w:t xml:space="preserve">06 (Lógica de Negocio)</w:t>
      </w:r>
      <w:r>
        <w:br/>
      </w:r>
      <w:r>
        <w:rPr>
          <w:b/>
          <w:bCs/>
        </w:rPr>
        <w:t xml:space="preserve">Entregable:</w:t>
      </w:r>
      <w:r>
        <w:t xml:space="preserve"> </w:t>
      </w:r>
      <w:r>
        <w:t xml:space="preserve">06 - Aplicación con lógica de negocio (sin gráficos)</w:t>
      </w:r>
    </w:p>
    <w:p>
      <w:r>
        <w:pict>
          <v:rect style="width:0;height:1.5pt" o:hralign="center" o:hrstd="t" o:hr="t"/>
        </w:pict>
      </w:r>
    </w:p>
    <w:bookmarkStart w:id="9" w:name="tabla-de-contenidos"/>
    <w:p>
      <w:pPr>
        <w:pStyle w:val="Heading2"/>
      </w:pPr>
      <w:r>
        <w:t xml:space="preserve">Tabla de Contenidos</w:t>
      </w:r>
    </w:p>
    <w:p>
      <w:pPr>
        <w:pStyle w:val="Compact"/>
        <w:numPr>
          <w:ilvl w:val="0"/>
          <w:numId w:val="1001"/>
        </w:numPr>
      </w:pPr>
      <w:hyperlink w:anchor="introducción">
        <w:r>
          <w:rPr>
            <w:rStyle w:val="Hyperlink"/>
          </w:rPr>
          <w:t xml:space="preserve">Introducción</w:t>
        </w:r>
      </w:hyperlink>
    </w:p>
    <w:p>
      <w:pPr>
        <w:pStyle w:val="Compact"/>
        <w:numPr>
          <w:ilvl w:val="0"/>
          <w:numId w:val="1001"/>
        </w:numPr>
      </w:pPr>
      <w:hyperlink w:anchor="requisitos-del-sistema">
        <w:r>
          <w:rPr>
            <w:rStyle w:val="Hyperlink"/>
          </w:rPr>
          <w:t xml:space="preserve">Requisitos del Sistema</w:t>
        </w:r>
      </w:hyperlink>
    </w:p>
    <w:p>
      <w:pPr>
        <w:pStyle w:val="Compact"/>
        <w:numPr>
          <w:ilvl w:val="0"/>
          <w:numId w:val="1001"/>
        </w:numPr>
      </w:pPr>
      <w:hyperlink w:anchor="instalación-y-ejecución">
        <w:r>
          <w:rPr>
            <w:rStyle w:val="Hyperlink"/>
          </w:rPr>
          <w:t xml:space="preserve">Instalación y Ejecución</w:t>
        </w:r>
      </w:hyperlink>
    </w:p>
    <w:p>
      <w:pPr>
        <w:pStyle w:val="Compact"/>
        <w:numPr>
          <w:ilvl w:val="0"/>
          <w:numId w:val="1001"/>
        </w:numPr>
      </w:pPr>
      <w:hyperlink w:anchor="descripción-de-la-interfaz">
        <w:r>
          <w:rPr>
            <w:rStyle w:val="Hyperlink"/>
          </w:rPr>
          <w:t xml:space="preserve">Descripción de la Interfaz</w:t>
        </w:r>
      </w:hyperlink>
    </w:p>
    <w:p>
      <w:pPr>
        <w:pStyle w:val="Compact"/>
        <w:numPr>
          <w:ilvl w:val="0"/>
          <w:numId w:val="1001"/>
        </w:numPr>
      </w:pPr>
      <w:hyperlink w:anchor="flujo-de-trabajo">
        <w:r>
          <w:rPr>
            <w:rStyle w:val="Hyperlink"/>
          </w:rPr>
          <w:t xml:space="preserve">Flujo de Trabajo</w:t>
        </w:r>
      </w:hyperlink>
    </w:p>
    <w:p>
      <w:pPr>
        <w:pStyle w:val="Compact"/>
        <w:numPr>
          <w:ilvl w:val="0"/>
          <w:numId w:val="1001"/>
        </w:numPr>
      </w:pPr>
      <w:hyperlink w:anchor="cálculos-implementados">
        <w:r>
          <w:rPr>
            <w:rStyle w:val="Hyperlink"/>
          </w:rPr>
          <w:t xml:space="preserve">Cálculos Implementados</w:t>
        </w:r>
      </w:hyperlink>
    </w:p>
    <w:p>
      <w:pPr>
        <w:pStyle w:val="Compact"/>
        <w:numPr>
          <w:ilvl w:val="0"/>
          <w:numId w:val="1001"/>
        </w:numPr>
      </w:pPr>
      <w:hyperlink w:anchor="exportación-de-datos">
        <w:r>
          <w:rPr>
            <w:rStyle w:val="Hyperlink"/>
          </w:rPr>
          <w:t xml:space="preserve">Exportación de Datos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1" w:name="introducción"/>
    <w:p>
      <w:pPr>
        <w:pStyle w:val="Heading2"/>
      </w:pPr>
      <w:r>
        <w:t xml:space="preserve">Introducción</w:t>
      </w:r>
    </w:p>
    <w:p>
      <w:pPr>
        <w:pStyle w:val="FirstParagraph"/>
      </w:pPr>
      <w:r>
        <w:t xml:space="preserve">La Aplicación PT Versión 06 es una herramienta web desarrollada en R Shiny para el análisis de ensayos de aptitud según las normas ISO 13528:2022 e ISO 17043:2023. Esta versión se enfoca en la lógica de negocio y cálculos de puntajes, sin incluir visualizaciones gráficas.</w:t>
      </w:r>
    </w:p>
    <w:bookmarkStart w:id="10" w:name="características-principales"/>
    <w:p>
      <w:pPr>
        <w:pStyle w:val="Heading3"/>
      </w:pPr>
      <w:r>
        <w:t xml:space="preserve">Características Principales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Datos precargados</w:t>
      </w:r>
      <w:r>
        <w:t xml:space="preserve">: Los 4 archivos CSV se cargan automáticamente al iniciar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Cálculo de puntajes PT</w:t>
      </w:r>
      <w:r>
        <w:t xml:space="preserve">: z, z’, zeta y En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Evaluación automática</w:t>
      </w:r>
      <w:r>
        <w:t xml:space="preserve">: Clasificación de desempeño (Satisfactorio/Cuestionable/No satisfactorio)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Exportación de resultados</w:t>
      </w:r>
      <w:r>
        <w:t xml:space="preserve">: Descarga de tablas en formato CSV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Interfaz simplificada</w:t>
      </w:r>
      <w:r>
        <w:t xml:space="preserve">: Sin componentes de carga de archivos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5" w:name="requisitos-del-sistema"/>
    <w:p>
      <w:pPr>
        <w:pStyle w:val="Heading2"/>
      </w:pPr>
      <w:r>
        <w:t xml:space="preserve">Requisitos del Sistema</w:t>
      </w:r>
    </w:p>
    <w:bookmarkStart w:id="12" w:name="software-requerido"/>
    <w:p>
      <w:pPr>
        <w:pStyle w:val="Heading3"/>
      </w:pPr>
      <w:r>
        <w:t xml:space="preserve">Software Requerido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</w:t>
      </w:r>
      <w:r>
        <w:t xml:space="preserve"> </w:t>
      </w:r>
      <w:r>
        <w:t xml:space="preserve">(versión 4.0 o superior)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RStudio</w:t>
      </w:r>
      <w:r>
        <w:t xml:space="preserve"> </w:t>
      </w:r>
      <w:r>
        <w:t xml:space="preserve">(opcional pero recomendado)</w:t>
      </w:r>
    </w:p>
    <w:bookmarkEnd w:id="12"/>
    <w:bookmarkStart w:id="13" w:name="paquetes-r"/>
    <w:p>
      <w:pPr>
        <w:pStyle w:val="Heading3"/>
      </w:pPr>
      <w:r>
        <w:t xml:space="preserve">Paquetes R</w:t>
      </w:r>
    </w:p>
    <w:p>
      <w:pPr>
        <w:pStyle w:val="FirstParagraph"/>
      </w:pPr>
      <w:r>
        <w:t xml:space="preserve">Los siguientes paquetes deben estar instalados:</w:t>
      </w:r>
    </w:p>
    <w:p>
      <w:pPr>
        <w:pStyle w:val="SourceCode"/>
      </w:pPr>
      <w:r>
        <w:rPr>
          <w:rStyle w:val="CommentTok"/>
        </w:rPr>
        <w:t xml:space="preserve"># Ejecutar en consola R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"shiny"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"tidyverse"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"DT"</w:t>
      </w:r>
      <w:r>
        <w:br/>
      </w:r>
      <w:r>
        <w:rPr>
          <w:rStyle w:val="NormalTok"/>
        </w:rPr>
        <w:t xml:space="preserve">))</w:t>
      </w:r>
    </w:p>
    <w:bookmarkEnd w:id="13"/>
    <w:bookmarkStart w:id="14" w:name="archivos-de-datos"/>
    <w:p>
      <w:pPr>
        <w:pStyle w:val="Heading3"/>
      </w:pPr>
      <w:r>
        <w:t xml:space="preserve">Archivos de Datos</w:t>
      </w:r>
    </w:p>
    <w:p>
      <w:pPr>
        <w:pStyle w:val="FirstParagraph"/>
      </w:pPr>
      <w:r>
        <w:t xml:space="preserve">Los siguientes archivos CSV deben estar ubicados en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 </w:t>
      </w:r>
      <w:r>
        <w:t xml:space="preserve">(directorio padre):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homogeneity.csv</w:t>
      </w:r>
      <w:r>
        <w:t xml:space="preserve"> </w:t>
      </w:r>
      <w:r>
        <w:t xml:space="preserve">- Datos de estudio de homogeneidad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stability.csv</w:t>
      </w:r>
      <w:r>
        <w:t xml:space="preserve"> </w:t>
      </w:r>
      <w:r>
        <w:t xml:space="preserve">- Datos de estudio de estabilidad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summary_n4.csv</w:t>
      </w:r>
      <w:r>
        <w:t xml:space="preserve"> </w:t>
      </w:r>
      <w:r>
        <w:t xml:space="preserve">- Datos consolidados de participantes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participants_data4.csv</w:t>
      </w:r>
      <w:r>
        <w:t xml:space="preserve"> </w:t>
      </w:r>
      <w:r>
        <w:t xml:space="preserve">- Tabla de instrumentación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0" w:name="instalación-y-ejecución"/>
    <w:p>
      <w:pPr>
        <w:pStyle w:val="Heading2"/>
      </w:pPr>
      <w:r>
        <w:t xml:space="preserve">Instalación y Ejecución</w:t>
      </w:r>
    </w:p>
    <w:bookmarkStart w:id="16" w:name="Xd8e9d1ee30e8b0eabc288575df060528e12a6c5"/>
    <w:p>
      <w:pPr>
        <w:pStyle w:val="Heading3"/>
      </w:pPr>
      <w:r>
        <w:t xml:space="preserve">Paso 1: Ubicarse en el Directorio Correcto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/ruta/a/pt_app/Entregables_pt_app/06_app_logica</w:t>
      </w:r>
    </w:p>
    <w:bookmarkEnd w:id="16"/>
    <w:bookmarkStart w:id="19" w:name="paso-2-ejecutar-la-aplicación"/>
    <w:p>
      <w:pPr>
        <w:pStyle w:val="Heading3"/>
      </w:pPr>
      <w:r>
        <w:t xml:space="preserve">Paso 2: Ejecutar la Aplicación</w:t>
      </w:r>
    </w:p>
    <w:bookmarkStart w:id="17" w:name="desde-rstudio"/>
    <w:p>
      <w:pPr>
        <w:pStyle w:val="Heading4"/>
      </w:pPr>
      <w:r>
        <w:t xml:space="preserve">Desde RStudio:</w:t>
      </w:r>
    </w:p>
    <w:p>
      <w:pPr>
        <w:pStyle w:val="Compact"/>
        <w:numPr>
          <w:ilvl w:val="0"/>
          <w:numId w:val="1005"/>
        </w:numPr>
      </w:pPr>
      <w:r>
        <w:t xml:space="preserve">Abrir el archivo</w:t>
      </w:r>
      <w:r>
        <w:t xml:space="preserve"> </w:t>
      </w:r>
      <w:r>
        <w:rPr>
          <w:rStyle w:val="VerbatimChar"/>
        </w:rPr>
        <w:t xml:space="preserve">app_v06.R</w:t>
      </w:r>
    </w:p>
    <w:p>
      <w:pPr>
        <w:pStyle w:val="Compact"/>
        <w:numPr>
          <w:ilvl w:val="0"/>
          <w:numId w:val="1005"/>
        </w:numPr>
      </w:pPr>
      <w:r>
        <w:t xml:space="preserve">Presionar</w:t>
      </w:r>
      <w:r>
        <w:t xml:space="preserve"> </w:t>
      </w:r>
      <w:r>
        <w:rPr>
          <w:b/>
          <w:bCs/>
        </w:rPr>
        <w:t xml:space="preserve">Run App</w:t>
      </w:r>
      <w:r>
        <w:t xml:space="preserve"> </w:t>
      </w:r>
      <w:r>
        <w:t xml:space="preserve">(el botón verde triangular) o usar</w:t>
      </w:r>
      <w:r>
        <w:t xml:space="preserve"> </w:t>
      </w:r>
      <w:r>
        <w:rPr>
          <w:rStyle w:val="VerbatimChar"/>
        </w:rPr>
        <w:t xml:space="preserve">Ctrl+Shift+Enter</w:t>
      </w:r>
    </w:p>
    <w:bookmarkEnd w:id="17"/>
    <w:bookmarkStart w:id="18" w:name="desde-la-terminal"/>
    <w:p>
      <w:pPr>
        <w:pStyle w:val="Heading4"/>
      </w:pPr>
      <w:r>
        <w:t xml:space="preserve">Desde la terminal:</w:t>
      </w:r>
    </w:p>
    <w:p>
      <w:pPr>
        <w:pStyle w:val="SourceCode"/>
      </w:pPr>
      <w:r>
        <w:rPr>
          <w:rStyle w:val="ExtensionTok"/>
        </w:rPr>
        <w:t xml:space="preserve">Rscript</w:t>
      </w:r>
      <w:r>
        <w:rPr>
          <w:rStyle w:val="NormalTok"/>
        </w:rPr>
        <w:t xml:space="preserve"> app_v06.R</w:t>
      </w:r>
    </w:p>
    <w:p>
      <w:pPr>
        <w:pStyle w:val="FirstParagraph"/>
      </w:pPr>
      <w:r>
        <w:t xml:space="preserve">La aplicación se abrirá automáticamente en el navegador web en la dirección:</w:t>
      </w:r>
    </w:p>
    <w:p>
      <w:pPr>
        <w:pStyle w:val="SourceCode"/>
      </w:pPr>
      <w:r>
        <w:rPr>
          <w:rStyle w:val="VerbatimChar"/>
        </w:rPr>
        <w:t xml:space="preserve">http://127.0.0.1:XXXX</w:t>
      </w:r>
    </w:p>
    <w:p>
      <w:pPr>
        <w:pStyle w:val="FirstParagraph"/>
      </w:pPr>
      <w:r>
        <w:t xml:space="preserve">Donde XXXX es un puerto asignado automáticamente por Shiny.</w:t>
      </w:r>
    </w:p>
    <w:p>
      <w:r>
        <w:pict>
          <v:rect style="width:0;height:1.5pt" o:hralign="center" o:hrstd="t" o:hr="t"/>
        </w:pict>
      </w:r>
    </w:p>
    <w:bookmarkEnd w:id="18"/>
    <w:bookmarkEnd w:id="19"/>
    <w:bookmarkEnd w:id="20"/>
    <w:bookmarkStart w:id="28" w:name="descripción-de-la-interfaz"/>
    <w:p>
      <w:pPr>
        <w:pStyle w:val="Heading2"/>
      </w:pPr>
      <w:r>
        <w:t xml:space="preserve">Descripción de la Interfaz</w:t>
      </w:r>
    </w:p>
    <w:p>
      <w:pPr>
        <w:pStyle w:val="FirstParagraph"/>
      </w:pPr>
      <w:r>
        <w:t xml:space="preserve">La interfaz de la aplicación se divide en tres secciones principales:</w:t>
      </w:r>
    </w:p>
    <w:bookmarkStart w:id="24" w:name="panel-lateral-barra-izquierda"/>
    <w:p>
      <w:pPr>
        <w:pStyle w:val="Heading3"/>
      </w:pPr>
      <w:r>
        <w:t xml:space="preserve">Panel Lateral (Barra Izquierda)</w:t>
      </w:r>
    </w:p>
    <w:bookmarkStart w:id="21" w:name="datos-precargados"/>
    <w:p>
      <w:pPr>
        <w:pStyle w:val="Heading4"/>
      </w:pPr>
      <w:r>
        <w:t xml:space="preserve">1. Datos Precargados</w:t>
      </w:r>
    </w:p>
    <w:p>
      <w:pPr>
        <w:pStyle w:val="FirstParagraph"/>
      </w:pPr>
      <w:r>
        <w:t xml:space="preserve">Lista informativa que muestra los archivos que se han cargado automáticamente:</w:t>
      </w:r>
    </w:p>
    <w:p>
      <w:pPr>
        <w:pStyle w:val="Compact"/>
        <w:numPr>
          <w:ilvl w:val="0"/>
          <w:numId w:val="1006"/>
        </w:numPr>
      </w:pPr>
      <w:r>
        <w:t xml:space="preserve">homogeneity.csv</w:t>
      </w:r>
    </w:p>
    <w:p>
      <w:pPr>
        <w:pStyle w:val="Compact"/>
        <w:numPr>
          <w:ilvl w:val="0"/>
          <w:numId w:val="1006"/>
        </w:numPr>
      </w:pPr>
      <w:r>
        <w:t xml:space="preserve">stability.csv</w:t>
      </w:r>
    </w:p>
    <w:p>
      <w:pPr>
        <w:pStyle w:val="Compact"/>
        <w:numPr>
          <w:ilvl w:val="0"/>
          <w:numId w:val="1006"/>
        </w:numPr>
      </w:pPr>
      <w:r>
        <w:t xml:space="preserve">summary_n4.csv</w:t>
      </w:r>
    </w:p>
    <w:p>
      <w:pPr>
        <w:pStyle w:val="Compact"/>
        <w:numPr>
          <w:ilvl w:val="0"/>
          <w:numId w:val="1006"/>
        </w:numPr>
      </w:pPr>
      <w:r>
        <w:t xml:space="preserve">participants_data4.csv</w:t>
      </w:r>
    </w:p>
    <w:p>
      <w:pPr>
        <w:pStyle w:val="FirstParagraph"/>
      </w:pPr>
      <w:r>
        <w:rPr>
          <w:b/>
          <w:bCs/>
        </w:rPr>
        <w:t xml:space="preserve">Nota</w:t>
      </w:r>
      <w:r>
        <w:t xml:space="preserve">: Estos archivos se leen automáticamente del directorio</w:t>
      </w:r>
      <w:r>
        <w:t xml:space="preserve"> </w:t>
      </w:r>
      <w:r>
        <w:rPr>
          <w:rStyle w:val="VerbatimChar"/>
        </w:rPr>
        <w:t xml:space="preserve">../data/</w:t>
      </w:r>
      <w:r>
        <w:t xml:space="preserve"> </w:t>
      </w:r>
      <w:r>
        <w:t xml:space="preserve">al iniciar la aplicación.</w:t>
      </w:r>
    </w:p>
    <w:bookmarkEnd w:id="21"/>
    <w:bookmarkStart w:id="22" w:name="análisis"/>
    <w:p>
      <w:pPr>
        <w:pStyle w:val="Heading4"/>
      </w:pPr>
      <w:r>
        <w:t xml:space="preserve">2. Análisis</w:t>
      </w:r>
    </w:p>
    <w:p>
      <w:pPr>
        <w:pStyle w:val="FirstParagraph"/>
      </w:pPr>
      <w:r>
        <w:t xml:space="preserve">Contiene los selectores para configurar el cálculo de puntajes: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Analito</w:t>
      </w:r>
      <w:r>
        <w:t xml:space="preserve">: Seleccione el contaminante a analizar (ej. CO, SO2, O3, NO)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Nivel</w:t>
      </w:r>
      <w:r>
        <w:t xml:space="preserve">: Seleccione el nivel del ensayo (ej. Nivel 1-μmol/mol, Nivel 2-μmol/mol)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</w:t>
      </w:r>
      <w:r>
        <w:t xml:space="preserve">: Seleccione el número de laboratorios participantes (ej. 4)</w:t>
      </w:r>
    </w:p>
    <w:bookmarkEnd w:id="22"/>
    <w:bookmarkStart w:id="23" w:name="botón-de-acción"/>
    <w:p>
      <w:pPr>
        <w:pStyle w:val="Heading4"/>
      </w:pPr>
      <w:r>
        <w:t xml:space="preserve">3. Botón de Acción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Calcular Puntajes PT</w:t>
      </w:r>
      <w:r>
        <w:t xml:space="preserve">: Ejecuta el cálculo de puntajes para la combinación seleccionada</w:t>
      </w:r>
    </w:p>
    <w:bookmarkEnd w:id="23"/>
    <w:bookmarkEnd w:id="24"/>
    <w:bookmarkStart w:id="27" w:name="panel-principal-área-derecha"/>
    <w:p>
      <w:pPr>
        <w:pStyle w:val="Heading3"/>
      </w:pPr>
      <w:r>
        <w:t xml:space="preserve">Panel Principal (Área Derecha)</w:t>
      </w:r>
    </w:p>
    <w:p>
      <w:pPr>
        <w:pStyle w:val="FirstParagraph"/>
      </w:pPr>
      <w:r>
        <w:t xml:space="preserve">La interfaz principal se organiza en pestañas:</w:t>
      </w:r>
    </w:p>
    <w:bookmarkStart w:id="25" w:name="pestaña-1-resumen-de-datos"/>
    <w:p>
      <w:pPr>
        <w:pStyle w:val="Heading4"/>
      </w:pPr>
      <w:r>
        <w:t xml:space="preserve">Pestaña 1: Resumen de Datos</w:t>
      </w:r>
    </w:p>
    <w:p>
      <w:pPr>
        <w:pStyle w:val="FirstParagraph"/>
      </w:pPr>
      <w:r>
        <w:t xml:space="preserve">Muestra tablas con los datos precargados: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Datos de participantes</w:t>
      </w:r>
      <w:r>
        <w:t xml:space="preserve">: Tabla con información de los laboratorios participantes (primeras 50 filas)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Datos de homogeneidad</w:t>
      </w:r>
      <w:r>
        <w:t xml:space="preserve">: Tabla con resultados del estudio de homogeneidad (primeras 50 filas)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Datos de estabilidad</w:t>
      </w:r>
      <w:r>
        <w:t xml:space="preserve">: Tabla con resultados del estudio de estabilidad (primeras 50 filas)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Descargar CSV de participantes</w:t>
      </w:r>
      <w:r>
        <w:t xml:space="preserve">: Botón para exportar la tabla de participantes</w:t>
      </w:r>
    </w:p>
    <w:bookmarkEnd w:id="25"/>
    <w:bookmarkStart w:id="26" w:name="pestaña-2-puntajes-pt"/>
    <w:p>
      <w:pPr>
        <w:pStyle w:val="Heading4"/>
      </w:pPr>
      <w:r>
        <w:t xml:space="preserve">Pestaña 2: Puntajes PT</w:t>
      </w:r>
    </w:p>
    <w:p>
      <w:pPr>
        <w:pStyle w:val="FirstParagraph"/>
      </w:pPr>
      <w:r>
        <w:t xml:space="preserve">Muestra los resultados de cálculos: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Parámetros de cálculo</w:t>
      </w:r>
      <w:r>
        <w:t xml:space="preserve">: Tabla con:</w:t>
      </w:r>
    </w:p>
    <w:p>
      <w:pPr>
        <w:pStyle w:val="Compact"/>
        <w:numPr>
          <w:ilvl w:val="1"/>
          <w:numId w:val="1011"/>
        </w:numPr>
      </w:pPr>
      <w:r>
        <w:t xml:space="preserve">Valor asignado (x_pt)</w:t>
      </w:r>
    </w:p>
    <w:p>
      <w:pPr>
        <w:pStyle w:val="Compact"/>
        <w:numPr>
          <w:ilvl w:val="1"/>
          <w:numId w:val="1011"/>
        </w:numPr>
      </w:pPr>
      <w:r>
        <w:t xml:space="preserve">sigma_pt (MADe y nIQR)</w:t>
      </w:r>
    </w:p>
    <w:p>
      <w:pPr>
        <w:pStyle w:val="Compact"/>
        <w:numPr>
          <w:ilvl w:val="1"/>
          <w:numId w:val="1011"/>
        </w:numPr>
      </w:pPr>
      <w:r>
        <w:t xml:space="preserve">u_xpt (incertidumbre del valor asignado)</w:t>
      </w:r>
    </w:p>
    <w:p>
      <w:pPr>
        <w:pStyle w:val="Compact"/>
        <w:numPr>
          <w:ilvl w:val="1"/>
          <w:numId w:val="1011"/>
        </w:numPr>
      </w:pPr>
      <w:r>
        <w:t xml:space="preserve">Factor k</w:t>
      </w:r>
    </w:p>
    <w:p>
      <w:pPr>
        <w:pStyle w:val="Compact"/>
        <w:numPr>
          <w:ilvl w:val="1"/>
          <w:numId w:val="1011"/>
        </w:numPr>
      </w:pPr>
      <w:r>
        <w:t xml:space="preserve">Método usado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Resultados de puntajes</w:t>
      </w:r>
      <w:r>
        <w:t xml:space="preserve">: Tabla detallada con:</w:t>
      </w:r>
    </w:p>
    <w:p>
      <w:pPr>
        <w:pStyle w:val="Compact"/>
        <w:numPr>
          <w:ilvl w:val="1"/>
          <w:numId w:val="1012"/>
        </w:numPr>
      </w:pPr>
      <w:r>
        <w:t xml:space="preserve">ID del participante</w:t>
      </w:r>
    </w:p>
    <w:p>
      <w:pPr>
        <w:pStyle w:val="Compact"/>
        <w:numPr>
          <w:ilvl w:val="1"/>
          <w:numId w:val="1012"/>
        </w:numPr>
      </w:pPr>
      <w:r>
        <w:t xml:space="preserve">Analito, nivel y n</w:t>
      </w:r>
    </w:p>
    <w:p>
      <w:pPr>
        <w:pStyle w:val="Compact"/>
        <w:numPr>
          <w:ilvl w:val="1"/>
          <w:numId w:val="1012"/>
        </w:numPr>
      </w:pPr>
      <w:r>
        <w:t xml:space="preserve">Valor medio y desviación estándar</w:t>
      </w:r>
    </w:p>
    <w:p>
      <w:pPr>
        <w:pStyle w:val="Compact"/>
        <w:numPr>
          <w:ilvl w:val="1"/>
          <w:numId w:val="1012"/>
        </w:numPr>
      </w:pPr>
      <w:r>
        <w:t xml:space="preserve">Valor asignado y parámetros (x_pt, sigma_pt, u_xpt)</w:t>
      </w:r>
    </w:p>
    <w:p>
      <w:pPr>
        <w:pStyle w:val="Compact"/>
        <w:numPr>
          <w:ilvl w:val="1"/>
          <w:numId w:val="1012"/>
        </w:numPr>
      </w:pPr>
      <w:r>
        <w:t xml:space="preserve">Puntajes: z, z’, zeta, En</w:t>
      </w:r>
    </w:p>
    <w:p>
      <w:pPr>
        <w:pStyle w:val="Compact"/>
        <w:numPr>
          <w:ilvl w:val="1"/>
          <w:numId w:val="1012"/>
        </w:numPr>
      </w:pPr>
      <w:r>
        <w:t xml:space="preserve">Evaluación: Satisfactorio/Cuestionable/No satisfactorio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Resumen de evaluación</w:t>
      </w:r>
      <w:r>
        <w:t xml:space="preserve">: Tabla de conteo por categoría de desempeño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Descargar CSV de puntajes</w:t>
      </w:r>
      <w:r>
        <w:t xml:space="preserve">: Botón para exportar la tabla de puntajes</w:t>
      </w:r>
    </w:p>
    <w:p>
      <w:r>
        <w:pict>
          <v:rect style="width:0;height:1.5pt" o:hralign="center" o:hrstd="t" o:hr="t"/>
        </w:pict>
      </w:r>
    </w:p>
    <w:bookmarkEnd w:id="26"/>
    <w:bookmarkEnd w:id="27"/>
    <w:bookmarkEnd w:id="28"/>
    <w:bookmarkStart w:id="30" w:name="flujo-de-trabajo"/>
    <w:p>
      <w:pPr>
        <w:pStyle w:val="Heading2"/>
      </w:pPr>
      <w:r>
        <w:t xml:space="preserve">Flujo de Trabajo</w:t>
      </w:r>
    </w:p>
    <w:bookmarkStart w:id="29" w:name="ejemplo-de-uso-completo"/>
    <w:p>
      <w:pPr>
        <w:pStyle w:val="Heading3"/>
      </w:pPr>
      <w:r>
        <w:t xml:space="preserve">Ejemplo de Uso Completo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Iniciar la aplicación</w:t>
      </w:r>
    </w:p>
    <w:p>
      <w:pPr>
        <w:pStyle w:val="Compact"/>
        <w:numPr>
          <w:ilvl w:val="1"/>
          <w:numId w:val="1014"/>
        </w:numPr>
      </w:pPr>
      <w:r>
        <w:t xml:space="preserve">Ejecutar</w:t>
      </w:r>
      <w:r>
        <w:t xml:space="preserve"> </w:t>
      </w:r>
      <w:r>
        <w:rPr>
          <w:rStyle w:val="VerbatimChar"/>
        </w:rPr>
        <w:t xml:space="preserve">app_v06.R</w:t>
      </w:r>
      <w:r>
        <w:t xml:space="preserve"> </w:t>
      </w:r>
      <w:r>
        <w:t xml:space="preserve">desde R o RStudio</w:t>
      </w:r>
    </w:p>
    <w:p>
      <w:pPr>
        <w:pStyle w:val="Compact"/>
        <w:numPr>
          <w:ilvl w:val="1"/>
          <w:numId w:val="1014"/>
        </w:numPr>
      </w:pPr>
      <w:r>
        <w:t xml:space="preserve">Esperar que se abra en el navegador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Seleccionar datos</w:t>
      </w:r>
    </w:p>
    <w:p>
      <w:pPr>
        <w:pStyle w:val="Compact"/>
        <w:numPr>
          <w:ilvl w:val="1"/>
          <w:numId w:val="1015"/>
        </w:numPr>
      </w:pPr>
      <w:r>
        <w:t xml:space="preserve">En el panel lateral, seleccionar un analito (ej.</w:t>
      </w:r>
      <w:r>
        <w:t xml:space="preserve"> </w:t>
      </w:r>
      <w:r>
        <w:t xml:space="preserve">“CO”</w:t>
      </w:r>
      <w:r>
        <w:t xml:space="preserve">)</w:t>
      </w:r>
    </w:p>
    <w:p>
      <w:pPr>
        <w:pStyle w:val="Compact"/>
        <w:numPr>
          <w:ilvl w:val="1"/>
          <w:numId w:val="1015"/>
        </w:numPr>
      </w:pPr>
      <w:r>
        <w:t xml:space="preserve">Seleccionar un nivel (ej.</w:t>
      </w:r>
      <w:r>
        <w:t xml:space="preserve"> </w:t>
      </w:r>
      <w:r>
        <w:t xml:space="preserve">“Nivel 2-μmol/mol”</w:t>
      </w:r>
      <w:r>
        <w:t xml:space="preserve">)</w:t>
      </w:r>
    </w:p>
    <w:p>
      <w:pPr>
        <w:pStyle w:val="Compact"/>
        <w:numPr>
          <w:ilvl w:val="1"/>
          <w:numId w:val="1015"/>
        </w:numPr>
      </w:pPr>
      <w:r>
        <w:t xml:space="preserve">Seleccionar n (ej.</w:t>
      </w:r>
      <w:r>
        <w:t xml:space="preserve"> </w:t>
      </w:r>
      <w:r>
        <w:t xml:space="preserve">“4”</w:t>
      </w:r>
      <w:r>
        <w:t xml:space="preserve">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Revisar datos de entrada</w:t>
      </w:r>
    </w:p>
    <w:p>
      <w:pPr>
        <w:pStyle w:val="Compact"/>
        <w:numPr>
          <w:ilvl w:val="1"/>
          <w:numId w:val="1016"/>
        </w:numPr>
      </w:pPr>
      <w:r>
        <w:t xml:space="preserve">Ir a la pestaña</w:t>
      </w:r>
      <w:r>
        <w:t xml:space="preserve"> </w:t>
      </w:r>
      <w:r>
        <w:t xml:space="preserve">“Resumen de Datos”</w:t>
      </w:r>
    </w:p>
    <w:p>
      <w:pPr>
        <w:pStyle w:val="Compact"/>
        <w:numPr>
          <w:ilvl w:val="1"/>
          <w:numId w:val="1016"/>
        </w:numPr>
      </w:pPr>
      <w:r>
        <w:t xml:space="preserve">Verificar que las tablas se hayan cargado correctamente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Calcular puntajes</w:t>
      </w:r>
    </w:p>
    <w:p>
      <w:pPr>
        <w:pStyle w:val="Compact"/>
        <w:numPr>
          <w:ilvl w:val="1"/>
          <w:numId w:val="1017"/>
        </w:numPr>
      </w:pPr>
      <w:r>
        <w:t xml:space="preserve">Hacer clic en el botón</w:t>
      </w:r>
      <w:r>
        <w:t xml:space="preserve"> </w:t>
      </w:r>
      <w:r>
        <w:t xml:space="preserve">“Calcular Puntajes PT”</w:t>
      </w:r>
    </w:p>
    <w:p>
      <w:pPr>
        <w:pStyle w:val="Compact"/>
        <w:numPr>
          <w:ilvl w:val="1"/>
          <w:numId w:val="1017"/>
        </w:numPr>
      </w:pPr>
      <w:r>
        <w:t xml:space="preserve">Esperar a que aparezcan los resultados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Revisar resultados</w:t>
      </w:r>
    </w:p>
    <w:p>
      <w:pPr>
        <w:pStyle w:val="Compact"/>
        <w:numPr>
          <w:ilvl w:val="1"/>
          <w:numId w:val="1018"/>
        </w:numPr>
      </w:pPr>
      <w:r>
        <w:t xml:space="preserve">Ir a la pestaña</w:t>
      </w:r>
      <w:r>
        <w:t xml:space="preserve"> </w:t>
      </w:r>
      <w:r>
        <w:t xml:space="preserve">“Puntajes PT”</w:t>
      </w:r>
    </w:p>
    <w:p>
      <w:pPr>
        <w:pStyle w:val="Compact"/>
        <w:numPr>
          <w:ilvl w:val="1"/>
          <w:numId w:val="1018"/>
        </w:numPr>
      </w:pPr>
      <w:r>
        <w:t xml:space="preserve">Revisar los parámetros de cálculo</w:t>
      </w:r>
    </w:p>
    <w:p>
      <w:pPr>
        <w:pStyle w:val="Compact"/>
        <w:numPr>
          <w:ilvl w:val="1"/>
          <w:numId w:val="1018"/>
        </w:numPr>
      </w:pPr>
      <w:r>
        <w:t xml:space="preserve">Examinar la tabla de puntajes</w:t>
      </w:r>
    </w:p>
    <w:p>
      <w:pPr>
        <w:pStyle w:val="Compact"/>
        <w:numPr>
          <w:ilvl w:val="1"/>
          <w:numId w:val="1018"/>
        </w:numPr>
      </w:pPr>
      <w:r>
        <w:t xml:space="preserve">Verificar el resumen de evaluación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Exportar resultados</w:t>
      </w:r>
    </w:p>
    <w:p>
      <w:pPr>
        <w:pStyle w:val="Compact"/>
        <w:numPr>
          <w:ilvl w:val="1"/>
          <w:numId w:val="1019"/>
        </w:numPr>
      </w:pPr>
      <w:r>
        <w:t xml:space="preserve">Hacer clic en</w:t>
      </w:r>
      <w:r>
        <w:t xml:space="preserve"> </w:t>
      </w:r>
      <w:r>
        <w:t xml:space="preserve">“Descargar CSV de puntajes”</w:t>
      </w:r>
      <w:r>
        <w:t xml:space="preserve"> </w:t>
      </w:r>
      <w:r>
        <w:t xml:space="preserve">para guardar los resultados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7" w:name="cálculos-implementados"/>
    <w:p>
      <w:pPr>
        <w:pStyle w:val="Heading2"/>
      </w:pPr>
      <w:r>
        <w:t xml:space="preserve">Cálculos Implementados</w:t>
      </w:r>
    </w:p>
    <w:bookmarkStart w:id="35" w:name="puntajes-pt-calculados"/>
    <w:p>
      <w:pPr>
        <w:pStyle w:val="Heading3"/>
      </w:pPr>
      <w:r>
        <w:t xml:space="preserve">Puntajes PT Calculados</w:t>
      </w:r>
    </w:p>
    <w:p>
      <w:pPr>
        <w:pStyle w:val="FirstParagraph"/>
      </w:pPr>
      <w:r>
        <w:t xml:space="preserve">La aplicación calcula cuatro tipos de puntajes según ISO 13528:2022:</w:t>
      </w:r>
    </w:p>
    <w:bookmarkStart w:id="31" w:name="puntaje-z-score"/>
    <w:p>
      <w:pPr>
        <w:pStyle w:val="Heading4"/>
      </w:pPr>
      <w:r>
        <w:t xml:space="preserve">1. Puntaje z-score</w:t>
      </w:r>
    </w:p>
    <w:p>
      <w:pPr>
        <w:pStyle w:val="FirstParagraph"/>
      </w:pPr>
      <w:r>
        <w:rPr>
          <w:b/>
          <w:bCs/>
        </w:rPr>
        <w:t xml:space="preserve">Fórmula:</w:t>
      </w:r>
    </w:p>
    <w:p>
      <w:pPr>
        <w:pStyle w:val="SourceCode"/>
      </w:pPr>
      <w:r>
        <w:rPr>
          <w:rStyle w:val="VerbatimChar"/>
        </w:rPr>
        <w:t xml:space="preserve">z = (x - x_pt) / sigma_pt</w:t>
      </w:r>
    </w:p>
    <w:p>
      <w:pPr>
        <w:pStyle w:val="FirstParagraph"/>
      </w:pPr>
      <w:r>
        <w:rPr>
          <w:b/>
          <w:bCs/>
        </w:rPr>
        <w:t xml:space="preserve">Criterios de evaluación:</w:t>
      </w:r>
      <w:r>
        <w:t xml:space="preserve"> </w:t>
      </w:r>
      <w:r>
        <w:t xml:space="preserve">- |z| ≤ 2: Satisfactorio</w:t>
      </w:r>
      <w:r>
        <w:t xml:space="preserve"> </w:t>
      </w:r>
      <w:r>
        <w:t xml:space="preserve">- 2 &lt; |z| &lt; 3: Cuestionable</w:t>
      </w:r>
      <w:r>
        <w:t xml:space="preserve"> </w:t>
      </w:r>
      <w:r>
        <w:t xml:space="preserve">- |z| ≥ 3: No satisfactorio</w:t>
      </w:r>
    </w:p>
    <w:bookmarkEnd w:id="31"/>
    <w:bookmarkStart w:id="32" w:name="puntaje-z-score-z-prime"/>
    <w:p>
      <w:pPr>
        <w:pStyle w:val="Heading4"/>
      </w:pPr>
      <w:r>
        <w:t xml:space="preserve">2. Puntaje z’-score (z-prime)</w:t>
      </w:r>
    </w:p>
    <w:p>
      <w:pPr>
        <w:pStyle w:val="FirstParagraph"/>
      </w:pPr>
      <w:r>
        <w:rPr>
          <w:b/>
          <w:bCs/>
        </w:rPr>
        <w:t xml:space="preserve">Fórmula:</w:t>
      </w:r>
    </w:p>
    <w:p>
      <w:pPr>
        <w:pStyle w:val="SourceCode"/>
      </w:pPr>
      <w:r>
        <w:rPr>
          <w:rStyle w:val="VerbatimChar"/>
        </w:rPr>
        <w:t xml:space="preserve">z' = (x - x_pt) / sqrt(sigma_pt^2 + u_xpt^2)</w:t>
      </w:r>
    </w:p>
    <w:p>
      <w:pPr>
        <w:pStyle w:val="FirstParagraph"/>
      </w:pPr>
      <w:r>
        <w:t xml:space="preserve">Incluye la incertidumbre del valor asignado en el denominador.</w:t>
      </w:r>
    </w:p>
    <w:p>
      <w:pPr>
        <w:pStyle w:val="BodyText"/>
      </w:pPr>
      <w:r>
        <w:rPr>
          <w:b/>
          <w:bCs/>
        </w:rPr>
        <w:t xml:space="preserve">Criterios de evaluación:</w:t>
      </w:r>
      <w:r>
        <w:t xml:space="preserve"> </w:t>
      </w:r>
      <w:r>
        <w:t xml:space="preserve">Igual que z-score.</w:t>
      </w:r>
    </w:p>
    <w:bookmarkEnd w:id="32"/>
    <w:bookmarkStart w:id="33" w:name="puntaje-zeta-score"/>
    <w:p>
      <w:pPr>
        <w:pStyle w:val="Heading4"/>
      </w:pPr>
      <w:r>
        <w:t xml:space="preserve">3. Puntaje zeta-score</w:t>
      </w:r>
    </w:p>
    <w:p>
      <w:pPr>
        <w:pStyle w:val="FirstParagraph"/>
      </w:pPr>
      <w:r>
        <w:rPr>
          <w:b/>
          <w:bCs/>
        </w:rPr>
        <w:t xml:space="preserve">Fórmula:</w:t>
      </w:r>
    </w:p>
    <w:p>
      <w:pPr>
        <w:pStyle w:val="SourceCode"/>
      </w:pPr>
      <w:r>
        <w:rPr>
          <w:rStyle w:val="VerbatimChar"/>
        </w:rPr>
        <w:t xml:space="preserve">zeta = (x - x_pt) / sqrt(u_x^2 + u_xpt^2)</w:t>
      </w:r>
    </w:p>
    <w:p>
      <w:pPr>
        <w:pStyle w:val="FirstParagraph"/>
      </w:pPr>
      <w:r>
        <w:t xml:space="preserve">Usa la incertidumbre del participante (u_x) y del valor asignado (u_xpt).</w:t>
      </w:r>
    </w:p>
    <w:p>
      <w:pPr>
        <w:pStyle w:val="BodyText"/>
      </w:pPr>
      <w:r>
        <w:rPr>
          <w:b/>
          <w:bCs/>
        </w:rPr>
        <w:t xml:space="preserve">Criterios de evaluación:</w:t>
      </w:r>
      <w:r>
        <w:t xml:space="preserve"> </w:t>
      </w:r>
      <w:r>
        <w:t xml:space="preserve">Igual que z-score.</w:t>
      </w:r>
    </w:p>
    <w:bookmarkEnd w:id="33"/>
    <w:bookmarkStart w:id="34" w:name="puntaje-en-score-error-normalizado"/>
    <w:p>
      <w:pPr>
        <w:pStyle w:val="Heading4"/>
      </w:pPr>
      <w:r>
        <w:t xml:space="preserve">4. Puntaje En-score (Error normalizado)</w:t>
      </w:r>
    </w:p>
    <w:p>
      <w:pPr>
        <w:pStyle w:val="FirstParagraph"/>
      </w:pPr>
      <w:r>
        <w:rPr>
          <w:b/>
          <w:bCs/>
        </w:rPr>
        <w:t xml:space="preserve">Fórmula:</w:t>
      </w:r>
    </w:p>
    <w:p>
      <w:pPr>
        <w:pStyle w:val="SourceCode"/>
      </w:pPr>
      <w:r>
        <w:rPr>
          <w:rStyle w:val="VerbatimChar"/>
        </w:rPr>
        <w:t xml:space="preserve">En = (x - x_pt) / sqrt(U_x^2 + U_xpt^2)</w:t>
      </w:r>
    </w:p>
    <w:p>
      <w:pPr>
        <w:pStyle w:val="FirstParagraph"/>
      </w:pPr>
      <w:r>
        <w:t xml:space="preserve">Usa las incertidumbres expandidas (k=2).</w:t>
      </w:r>
    </w:p>
    <w:p>
      <w:pPr>
        <w:pStyle w:val="BodyText"/>
      </w:pPr>
      <w:r>
        <w:rPr>
          <w:b/>
          <w:bCs/>
        </w:rPr>
        <w:t xml:space="preserve">Criterios de evaluación:</w:t>
      </w:r>
      <w:r>
        <w:t xml:space="preserve"> </w:t>
      </w:r>
      <w:r>
        <w:t xml:space="preserve">- |En| ≤ 1: Satisfactorio</w:t>
      </w:r>
      <w:r>
        <w:t xml:space="preserve"> </w:t>
      </w:r>
      <w:r>
        <w:t xml:space="preserve">- |En| &gt; 1: No satisfactorio</w:t>
      </w:r>
    </w:p>
    <w:bookmarkEnd w:id="34"/>
    <w:bookmarkEnd w:id="35"/>
    <w:bookmarkStart w:id="36" w:name="estadísticos-robustos"/>
    <w:p>
      <w:pPr>
        <w:pStyle w:val="Heading3"/>
      </w:pPr>
      <w:r>
        <w:t xml:space="preserve">Estadísticos Robustos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MADe</w:t>
      </w:r>
      <w:r>
        <w:t xml:space="preserve"> </w:t>
      </w:r>
      <w:r>
        <w:t xml:space="preserve">(Median Absolute Deviation escalado):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MADe = 1.483 * MAD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nIQR</w:t>
      </w:r>
      <w:r>
        <w:t xml:space="preserve"> </w:t>
      </w:r>
      <w:r>
        <w:t xml:space="preserve">(Normalized Interquartile Range):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nIQR = 0.7413 * IQR</w:t>
      </w:r>
    </w:p>
    <w:p>
      <w:pPr>
        <w:pStyle w:val="FirstParagraph"/>
      </w:pPr>
      <w:r>
        <w:t xml:space="preserve">Estos se usan para calcular sigma_pt robusto a valores atípicos.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2" w:name="exportación-de-datos"/>
    <w:p>
      <w:pPr>
        <w:pStyle w:val="Heading2"/>
      </w:pPr>
      <w:r>
        <w:t xml:space="preserve">Exportación de Datos</w:t>
      </w:r>
    </w:p>
    <w:bookmarkStart w:id="40" w:name="descarga-de-tablas-csv"/>
    <w:p>
      <w:pPr>
        <w:pStyle w:val="Heading3"/>
      </w:pPr>
      <w:r>
        <w:t xml:space="preserve">Descarga de Tablas CSV</w:t>
      </w:r>
    </w:p>
    <w:p>
      <w:pPr>
        <w:pStyle w:val="FirstParagraph"/>
      </w:pPr>
      <w:r>
        <w:t xml:space="preserve">La aplicación permite exportar dos tipos de archivos:</w:t>
      </w:r>
    </w:p>
    <w:bookmarkStart w:id="38" w:name="tabla-de-participantes"/>
    <w:p>
      <w:pPr>
        <w:pStyle w:val="Heading4"/>
      </w:pPr>
      <w:r>
        <w:t xml:space="preserve">1. Tabla de Participantes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Nombre del archivo</w:t>
      </w:r>
      <w:r>
        <w:t xml:space="preserve">:</w:t>
      </w:r>
      <w:r>
        <w:t xml:space="preserve"> </w:t>
      </w:r>
      <w:r>
        <w:rPr>
          <w:rStyle w:val="VerbatimChar"/>
        </w:rPr>
        <w:t xml:space="preserve">participantes_YYYY-MM-DD.csv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Contenido</w:t>
      </w:r>
      <w:r>
        <w:t xml:space="preserve">: Información de los laboratorios participantes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Formato</w:t>
      </w:r>
      <w:r>
        <w:t xml:space="preserve">: CSV con encabezados</w:t>
      </w:r>
    </w:p>
    <w:bookmarkEnd w:id="38"/>
    <w:bookmarkStart w:id="39" w:name="tabla-de-puntajes"/>
    <w:p>
      <w:pPr>
        <w:pStyle w:val="Heading4"/>
      </w:pPr>
      <w:r>
        <w:t xml:space="preserve">2. Tabla de Puntajes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Nombre del archivo</w:t>
      </w:r>
      <w:r>
        <w:t xml:space="preserve">:</w:t>
      </w:r>
      <w:r>
        <w:t xml:space="preserve"> </w:t>
      </w:r>
      <w:r>
        <w:rPr>
          <w:rStyle w:val="VerbatimChar"/>
        </w:rPr>
        <w:t xml:space="preserve">puntajes_[analito]_[nivel]_YYYY-MM-DD.csv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Contenido</w:t>
      </w:r>
      <w:r>
        <w:t xml:space="preserve">: Resultados completos de puntajes PT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Formato</w:t>
      </w:r>
      <w:r>
        <w:t xml:space="preserve">: CSV con encabezados</w:t>
      </w:r>
    </w:p>
    <w:bookmarkEnd w:id="39"/>
    <w:bookmarkEnd w:id="40"/>
    <w:bookmarkStart w:id="41" w:name="uso-de-archivos-exportados"/>
    <w:p>
      <w:pPr>
        <w:pStyle w:val="Heading3"/>
      </w:pPr>
      <w:r>
        <w:t xml:space="preserve">Uso de Archivos Exportados</w:t>
      </w:r>
    </w:p>
    <w:p>
      <w:pPr>
        <w:pStyle w:val="FirstParagraph"/>
      </w:pPr>
      <w:r>
        <w:t xml:space="preserve">Los archivos CSV se pueden abrir en: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Microsoft Excel</w:t>
      </w:r>
      <w:r>
        <w:t xml:space="preserve">: Abrir como archivo de texto delimitado por comas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Google Sheets</w:t>
      </w:r>
      <w:r>
        <w:t xml:space="preserve">: Importar como CSV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</w:t>
      </w:r>
      <w:r>
        <w:t xml:space="preserve">: Leer con</w:t>
      </w:r>
      <w:r>
        <w:t xml:space="preserve"> </w:t>
      </w:r>
      <w:r>
        <w:rPr>
          <w:rStyle w:val="VerbatimChar"/>
        </w:rPr>
        <w:t xml:space="preserve">read.csv()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Python</w:t>
      </w:r>
      <w:r>
        <w:t xml:space="preserve">: Leer con</w:t>
      </w:r>
      <w:r>
        <w:t xml:space="preserve"> </w:t>
      </w:r>
      <w:r>
        <w:rPr>
          <w:rStyle w:val="VerbatimChar"/>
        </w:rPr>
        <w:t xml:space="preserve">pandas.read_csv()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referencias-normativas"/>
    <w:p>
      <w:pPr>
        <w:pStyle w:val="Heading2"/>
      </w:pPr>
      <w:r>
        <w:t xml:space="preserve">Referencias Normativas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ISO 13528:2022</w:t>
      </w:r>
      <w:r>
        <w:t xml:space="preserve"> </w:t>
      </w:r>
      <w:r>
        <w:t xml:space="preserve">- Statistical methods for use in proficiency testing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ISO 17043:2023</w:t>
      </w:r>
      <w:r>
        <w:t xml:space="preserve"> </w:t>
      </w:r>
      <w:r>
        <w:t xml:space="preserve">- Conformity assessment - General requirements for proficiency testing</w:t>
      </w:r>
    </w:p>
    <w:p>
      <w:r>
        <w:pict>
          <v:rect style="width:0;height:1.5pt" o:hralign="center" o:hrstd="t" o:hr="t"/>
        </w:pict>
      </w:r>
    </w:p>
    <w:bookmarkEnd w:id="43"/>
    <w:bookmarkStart w:id="44" w:name="soporte-y-contacto"/>
    <w:p>
      <w:pPr>
        <w:pStyle w:val="Heading2"/>
      </w:pPr>
      <w:r>
        <w:t xml:space="preserve">Soporte y Contacto</w:t>
      </w:r>
    </w:p>
    <w:p>
      <w:pPr>
        <w:pStyle w:val="FirstParagraph"/>
      </w:pPr>
      <w:r>
        <w:t xml:space="preserve">Para preguntas o problemas técnicos relacionados con esta aplicación: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Laboratorio CALAIRE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Universidad Nacional de Colombia - Sede Medellín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Instituto Nacional de Metrología (INM)</w:t>
      </w:r>
    </w:p>
    <w:p>
      <w:pPr>
        <w:pStyle w:val="FirstParagraph"/>
      </w:pPr>
      <w:r>
        <w:t xml:space="preserve">Correo electrónico: calaire_med@unal.edu.co</w:t>
      </w:r>
    </w:p>
    <w:p>
      <w:r>
        <w:pict>
          <v:rect style="width:0;height:1.5pt" o:hralign="center" o:hrstd="t" o:hr="t"/>
        </w:pict>
      </w:r>
    </w:p>
    <w:bookmarkEnd w:id="44"/>
    <w:bookmarkStart w:id="45" w:name="registro-de-cambios"/>
    <w:p>
      <w:pPr>
        <w:pStyle w:val="Heading2"/>
      </w:pPr>
      <w:r>
        <w:t xml:space="preserve">Registro de Cambios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Versión</w:t>
            </w:r>
          </w:p>
        </w:tc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Cambios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06</w:t>
            </w:r>
          </w:p>
        </w:tc>
        <w:tc>
          <w:tcPr/>
          <w:p>
            <w:pPr>
              <w:pStyle w:val="Compact"/>
            </w:pPr>
            <w:r>
              <w:t xml:space="preserve">2026-01-24</w:t>
            </w:r>
          </w:p>
        </w:tc>
        <w:tc>
          <w:tcPr/>
          <w:p>
            <w:pPr>
              <w:pStyle w:val="Compact"/>
            </w:pPr>
            <w:r>
              <w:t xml:space="preserve">Versión inicial con lógica de negocio sin gráficos</w:t>
            </w:r>
          </w:p>
        </w:tc>
      </w:tr>
    </w:tbl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2026-06-16T17:01:40Z</dcterms:created>
  <dcterms:modified xsi:type="dcterms:W3CDTF">2026-06-16T17:01:40Z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