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48480c1f8bafb4aaa846965d1ba74a50abb6f0"/>
    <w:p>
      <w:pPr>
        <w:pStyle w:val="Heading1"/>
      </w:pPr>
      <w:r>
        <w:t xml:space="preserve">Entregable 04 — Fórmulas, uso e interpretación de puntajes PT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E04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 documental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Vigente contra</w:t>
            </w:r>
            <w:r>
              <w:t xml:space="preserve"> </w:t>
            </w:r>
            <w:r>
              <w:rPr>
                <w:rStyle w:val="VerbatimChar"/>
              </w:rPr>
              <w:t xml:space="preserve">ptcalc/R/pt_scores.R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Audiencia</w:t>
            </w:r>
          </w:p>
        </w:tc>
        <w:tc>
          <w:tcPr/>
          <w:p>
            <w:pPr>
              <w:pStyle w:val="Compact"/>
            </w:pPr>
            <w:r>
              <w:t xml:space="preserve">Usuarios, responsables técnicos y auditores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Aprobación externa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bookmarkStart w:id="9" w:name="elección-rápida"/>
    <w:p>
      <w:pPr>
        <w:pStyle w:val="Heading2"/>
      </w:pPr>
      <w:r>
        <w:t xml:space="preserve">Elección rápida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Puntaje</w:t>
            </w:r>
          </w:p>
        </w:tc>
        <w:tc>
          <w:tcPr/>
          <w:p>
            <w:pPr>
              <w:pStyle w:val="Compact"/>
            </w:pPr>
            <w:r>
              <w:t xml:space="preserve">Denominador</w:t>
            </w:r>
          </w:p>
        </w:tc>
        <w:tc>
          <w:tcPr/>
          <w:p>
            <w:pPr>
              <w:pStyle w:val="Compact"/>
            </w:pPr>
            <w:r>
              <w:t xml:space="preserve">Cuándo aporta información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σ_pt</w:t>
            </w:r>
          </w:p>
        </w:tc>
        <w:tc>
          <w:tcPr/>
          <w:p>
            <w:pPr>
              <w:pStyle w:val="Compact"/>
            </w:pPr>
            <w:r>
              <w:t xml:space="preserve">Cuando la dispersión para evaluar aptitud está definida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sqrt(σ_pt² + u_xpt²)</w:t>
            </w:r>
          </w:p>
        </w:tc>
        <w:tc>
          <w:tcPr/>
          <w:p>
            <w:pPr>
              <w:pStyle w:val="Compact"/>
            </w:pPr>
            <w:r>
              <w:t xml:space="preserve">Cuando debe incorporarse la incertidumbre estándar del valor asignado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sqrt(u_x² + u_xpt²)</w:t>
            </w:r>
          </w:p>
        </w:tc>
        <w:tc>
          <w:tcPr/>
          <w:p>
            <w:pPr>
              <w:pStyle w:val="Compact"/>
            </w:pPr>
            <w:r>
              <w:t xml:space="preserve">Para compatibilidad usando incertidumbres estándar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sqrt(U_x² + U_xpt²)</w:t>
            </w:r>
          </w:p>
        </w:tc>
        <w:tc>
          <w:tcPr/>
          <w:p>
            <w:pPr>
              <w:pStyle w:val="Compact"/>
            </w:pPr>
            <w:r>
              <w:t xml:space="preserve">Para compatibilidad usando incertidumbres expandidas coherentes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x</w:t>
      </w:r>
      <w:r>
        <w:t xml:space="preserve"> </w:t>
      </w:r>
      <w:r>
        <w:t xml:space="preserve">es el resultado del participante y</w:t>
      </w:r>
      <w:r>
        <w:t xml:space="preserve"> </w:t>
      </w:r>
      <w:r>
        <w:rPr>
          <w:rStyle w:val="VerbatimChar"/>
        </w:rPr>
        <w:t xml:space="preserve">x_pt</w:t>
      </w:r>
      <w:r>
        <w:t xml:space="preserve"> </w:t>
      </w:r>
      <w:r>
        <w:t xml:space="preserve">el valor asignado.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representa</w:t>
      </w:r>
      <w:r>
        <w:t xml:space="preserve"> </w:t>
      </w:r>
      <w:r>
        <w:t xml:space="preserve">incertidumbre estándar;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representa incertidumbre expandida. No mezcle ambas</w:t>
      </w:r>
      <w:r>
        <w:t xml:space="preserve"> </w:t>
      </w:r>
      <w:r>
        <w:t xml:space="preserve">escalas ni factores de cobertura distintos sin convertirlos y documentarlo.</w:t>
      </w:r>
    </w:p>
    <w:bookmarkEnd w:id="9"/>
    <w:bookmarkStart w:id="10" w:name="fórmulas-implementadas"/>
    <w:p>
      <w:pPr>
        <w:pStyle w:val="Heading2"/>
      </w:pPr>
      <w:r>
        <w:t xml:space="preserve">Fórmulas implementadas</w:t>
      </w:r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p</m:t>
                      </m:r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  <m:r>
                        <m:t>p</m:t>
                      </m:r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  <m:r>
                        <m:t>p</m:t>
                      </m:r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  <m:r>
                        <m:t>p</m:t>
                      </m:r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pStyle w:val="FirstParagraph"/>
      </w:pPr>
      <w:r>
        <w:t xml:space="preserve">La implementación devuelve</w:t>
      </w:r>
      <w:r>
        <w:t xml:space="preserve"> </w:t>
      </w:r>
      <w:r>
        <w:rPr>
          <w:rStyle w:val="VerbatimChar"/>
        </w:rPr>
        <w:t xml:space="preserve">NA_real_</w:t>
      </w:r>
      <w:r>
        <w:t xml:space="preserve"> </w:t>
      </w:r>
      <w:r>
        <w:t xml:space="preserve">si el denominador calculado no es finito</w:t>
      </w:r>
      <w:r>
        <w:t xml:space="preserve"> </w:t>
      </w:r>
      <w:r>
        <w:t xml:space="preserve">o no es positivo. En la interfaz, ese caso debe leerse como “N/A”, no como cero</w:t>
      </w:r>
      <w:r>
        <w:t xml:space="preserve"> </w:t>
      </w:r>
      <w:r>
        <w:t xml:space="preserve">ni como resultado satisfactorio.</w:t>
      </w:r>
    </w:p>
    <w:bookmarkEnd w:id="10"/>
    <w:bookmarkStart w:id="11" w:name="umbrales-y-etiquetas-exactas"/>
    <w:p>
      <w:pPr>
        <w:pStyle w:val="Heading2"/>
      </w:pPr>
      <w:r>
        <w:t xml:space="preserve">Umbrales y etiquetas exactas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Puntajes</w:t>
            </w:r>
          </w:p>
        </w:tc>
        <w:tc>
          <w:tcPr/>
          <w:p>
            <w:pPr>
              <w:pStyle w:val="Compact"/>
            </w:pPr>
            <w:r>
              <w:t xml:space="preserve">Intervalo</w:t>
            </w:r>
          </w:p>
        </w:tc>
        <w:tc>
          <w:tcPr/>
          <w:p>
            <w:pPr>
              <w:pStyle w:val="Compact"/>
            </w:pPr>
            <w:r>
              <w:t xml:space="preserve">Etiqueta de la aplicación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z, z’, zeta</w:t>
            </w:r>
          </w:p>
        </w:tc>
        <w:tc>
          <w:tcPr/>
          <w:p>
            <w:pPr>
              <w:pStyle w:val="Compact"/>
            </w:pPr>
            <w:r>
              <w:t xml:space="preserve">valor no finito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z, z’, zeta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|score| ≤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Satisfactorio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z, z’, zeta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 &lt; |score| &lt;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Cuestionable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z, z’, zeta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|score| ≥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satisfactorio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valor no finito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|En| ≤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Satisfactorio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|En| &gt;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satisfactorio</w:t>
            </w:r>
          </w:p>
        </w:tc>
      </w:tr>
    </w:tbl>
    <w:p>
      <w:pPr>
        <w:pStyle w:val="BodyText"/>
      </w:pPr>
      <w:r>
        <w:t xml:space="preserve">Los valores exactamente iguales a 2 son satisfactorios; exactamente 3 son no</w:t>
      </w:r>
      <w:r>
        <w:t xml:space="preserve"> </w:t>
      </w:r>
      <w:r>
        <w:t xml:space="preserve">satisfactorios; exactamente 1 en En es satisfactorio.</w:t>
      </w:r>
    </w:p>
    <w:bookmarkEnd w:id="11"/>
    <w:bookmarkStart w:id="12" w:name="ejemplo-único-verificable"/>
    <w:p>
      <w:pPr>
        <w:pStyle w:val="Heading2"/>
      </w:pPr>
      <w:r>
        <w:t xml:space="preserve">Ejemplo único verificable</w:t>
      </w:r>
    </w:p>
    <w:p>
      <w:pPr>
        <w:pStyle w:val="FirstParagraph"/>
      </w:pPr>
      <w:r>
        <w:t xml:space="preserve">Entradas, todas en</w:t>
      </w:r>
      <w:r>
        <w:t xml:space="preserve"> </w:t>
      </w:r>
      <w:r>
        <w:rPr>
          <w:rStyle w:val="VerbatimChar"/>
        </w:rPr>
        <w:t xml:space="preserve">µmol/mol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σ_pt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u_xpt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U_xpt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Puntaje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Resultado sin clasificar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Presentación</w:t>
            </w:r>
          </w:p>
        </w:tc>
        <w:tc>
          <w:tcPr/>
          <w:p>
            <w:pPr>
              <w:pStyle w:val="Compact"/>
            </w:pPr>
            <w:r>
              <w:t xml:space="preserve">Interpretación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2.250</w:t>
            </w:r>
          </w:p>
        </w:tc>
        <w:tc>
          <w:tcPr/>
          <w:p>
            <w:pPr>
              <w:pStyle w:val="Compact"/>
            </w:pPr>
            <w:r>
              <w:t xml:space="preserve">Cuestionable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2.106741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2.107</w:t>
            </w:r>
          </w:p>
        </w:tc>
        <w:tc>
          <w:tcPr/>
          <w:p>
            <w:pPr>
              <w:pStyle w:val="Compact"/>
            </w:pPr>
            <w:r>
              <w:t xml:space="preserve">Cuestionable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3.086975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3.087</w:t>
            </w:r>
          </w:p>
        </w:tc>
        <w:tc>
          <w:tcPr/>
          <w:p>
            <w:pPr>
              <w:pStyle w:val="Compact"/>
            </w:pPr>
            <w:r>
              <w:t xml:space="preserve">No satisfactorio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1.543487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1.543</w:t>
            </w:r>
          </w:p>
        </w:tc>
        <w:tc>
          <w:tcPr/>
          <w:p>
            <w:pPr>
              <w:pStyle w:val="Compact"/>
            </w:pPr>
            <w:r>
              <w:t xml:space="preserve">No satisfactorio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load_all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"ptcalc"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calculate_z_score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10.18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calculate_z_prime_score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10.18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calculate_zeta_score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10.18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calculate_en_score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10.18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evaluate_z_score</w:t>
      </w:r>
      <w:r>
        <w:rPr>
          <w:rStyle w:val="NormalTok"/>
        </w:rPr>
        <w:t xml:space="preserve">(z),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evaluate_z_score</w:t>
      </w:r>
      <w:r>
        <w:rPr>
          <w:rStyle w:val="NormalTok"/>
        </w:rPr>
        <w:t xml:space="preserve">(z_prime),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evaluate_z_score</w:t>
      </w:r>
      <w:r>
        <w:rPr>
          <w:rStyle w:val="NormalTok"/>
        </w:rPr>
        <w:t xml:space="preserve">(zeta),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evaluate_en_score</w:t>
      </w:r>
      <w:r>
        <w:rPr>
          <w:rStyle w:val="NormalTok"/>
        </w:rPr>
        <w:t xml:space="preserve">(en)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 ejemplo muestra por qué dos puntajes sobre el mismo resultado no tienen que</w:t>
      </w:r>
      <w:r>
        <w:t xml:space="preserve"> </w:t>
      </w:r>
      <w:r>
        <w:t xml:space="preserve">coincidir: responden a denominadores y preguntas diferentes. Un valor negativo</w:t>
      </w:r>
      <w:r>
        <w:t xml:space="preserve"> </w:t>
      </w:r>
      <w:r>
        <w:t xml:space="preserve">indicaría que el resultado está por debajo de</w:t>
      </w:r>
      <w:r>
        <w:t xml:space="preserve"> </w:t>
      </w:r>
      <w:r>
        <w:rPr>
          <w:rStyle w:val="VerbatimChar"/>
        </w:rPr>
        <w:t xml:space="preserve">x_pt</w:t>
      </w:r>
      <w:r>
        <w:t xml:space="preserve">; la clasificación usa la</w:t>
      </w:r>
      <w:r>
        <w:t xml:space="preserve"> </w:t>
      </w:r>
      <w:r>
        <w:t xml:space="preserve">magnitud absoluta.</w:t>
      </w:r>
    </w:p>
    <w:bookmarkEnd w:id="12"/>
    <w:bookmarkStart w:id="13" w:name="de-la-entrada-a-la-salida-de-la-app"/>
    <w:p>
      <w:pPr>
        <w:pStyle w:val="Heading2"/>
      </w:pPr>
      <w:r>
        <w:t xml:space="preserve">De la entrada a la salida de la app</w:t>
      </w:r>
    </w:p>
    <w:p>
      <w:pPr>
        <w:pStyle w:val="Compact"/>
        <w:numPr>
          <w:ilvl w:val="0"/>
          <w:numId w:val="1001"/>
        </w:numPr>
      </w:pPr>
      <w:r>
        <w:t xml:space="preserve">La app selecciona analito, nivel y ronda (</w:t>
      </w:r>
      <w:r>
        <w:rPr>
          <w:rStyle w:val="VerbatimChar"/>
        </w:rPr>
        <w:t xml:space="preserve">n_lab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Obtiene</w:t>
      </w:r>
      <w:r>
        <w:t xml:space="preserve"> </w:t>
      </w:r>
      <w:r>
        <w:rPr>
          <w:rStyle w:val="VerbatimChar"/>
        </w:rPr>
        <w:t xml:space="preserve">x_pt</w:t>
      </w:r>
      <w:r>
        <w:t xml:space="preserve">,</w:t>
      </w:r>
      <w:r>
        <w:t xml:space="preserve"> </w:t>
      </w:r>
      <w:r>
        <w:rPr>
          <w:rStyle w:val="VerbatimChar"/>
        </w:rPr>
        <w:t xml:space="preserve">σ_pt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u_xpt</w:t>
      </w:r>
      <w:r>
        <w:t xml:space="preserve"> </w:t>
      </w:r>
      <w:r>
        <w:t xml:space="preserve">del método elegido y de las contribuciones</w:t>
      </w:r>
      <w:r>
        <w:t xml:space="preserve"> </w:t>
      </w:r>
      <w:r>
        <w:t xml:space="preserve">disponibles de homogeneidad/estabilidad.</w:t>
      </w:r>
    </w:p>
    <w:p>
      <w:pPr>
        <w:pStyle w:val="Compact"/>
        <w:numPr>
          <w:ilvl w:val="0"/>
          <w:numId w:val="1001"/>
        </w:numPr>
      </w:pPr>
      <w:r>
        <w:t xml:space="preserve">Normaliza la incertidumbre del participante: puede derivar</w:t>
      </w:r>
      <w:r>
        <w:t xml:space="preserve"> </w:t>
      </w:r>
      <w:r>
        <w:rPr>
          <w:rStyle w:val="VerbatimChar"/>
        </w:rPr>
        <w:t xml:space="preserve">u_x = U_x / k</w:t>
      </w:r>
      <w:r>
        <w:t xml:space="preserve"> </w:t>
      </w:r>
      <w:r>
        <w:t xml:space="preserve">cuando se suministran incertidumbre expandida y factor de cobertura válidos.</w:t>
      </w:r>
    </w:p>
    <w:p>
      <w:pPr>
        <w:pStyle w:val="Compact"/>
        <w:numPr>
          <w:ilvl w:val="0"/>
          <w:numId w:val="1001"/>
        </w:numPr>
      </w:pPr>
      <w:r>
        <w:t xml:space="preserve">Calcula los puntajes disponibles y deja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los que carecen de entradas.</w:t>
      </w:r>
    </w:p>
    <w:p>
      <w:pPr>
        <w:pStyle w:val="Compact"/>
        <w:numPr>
          <w:ilvl w:val="0"/>
          <w:numId w:val="1001"/>
        </w:numPr>
      </w:pPr>
      <w:r>
        <w:t xml:space="preserve">Presenta tablas, gráficos y resúmenes; la exportación conserva valores y</w:t>
      </w:r>
      <w:r>
        <w:t xml:space="preserve"> </w:t>
      </w:r>
      <w:r>
        <w:t xml:space="preserve">clasificaciones. El redondeo visual no interviene en la clasificación.</w:t>
      </w:r>
    </w:p>
    <w:p>
      <w:pPr>
        <w:pStyle w:val="FirstParagraph"/>
      </w:pPr>
      <w:r>
        <w:t xml:space="preserve">Una clasificación aislada no explica la causa. Antes de tomar acciones revise</w:t>
      </w:r>
      <w:r>
        <w:t xml:space="preserve"> </w:t>
      </w:r>
      <w:r>
        <w:t xml:space="preserve">unidad, transcripción, método, incertidumbre, trazabilidad del valor asignado y</w:t>
      </w:r>
      <w:r>
        <w:t xml:space="preserve"> </w:t>
      </w:r>
      <w:r>
        <w:t xml:space="preserve">desempeño histórico del participante.</w:t>
      </w:r>
    </w:p>
    <w:bookmarkEnd w:id="13"/>
    <w:bookmarkStart w:id="14" w:name="Xafeabd2df4afd32b07f89b8be2e644265229bf1"/>
    <w:p>
      <w:pPr>
        <w:pStyle w:val="Heading2"/>
      </w:pPr>
      <w:r>
        <w:t xml:space="preserve">Casos que deben detener la interpretación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σ_pt ≤ 0</w:t>
      </w:r>
      <w:r>
        <w:t xml:space="preserve">, denominador cero, infinito o dato faltante.</w:t>
      </w:r>
    </w:p>
    <w:p>
      <w:pPr>
        <w:pStyle w:val="Compact"/>
        <w:numPr>
          <w:ilvl w:val="0"/>
          <w:numId w:val="1002"/>
        </w:numPr>
      </w:pPr>
      <w:r>
        <w:t xml:space="preserve">Incertidumbre estándar mezclada con expandida.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</w:t>
      </w:r>
      <w:r>
        <w:t xml:space="preserve"> </w:t>
      </w:r>
      <w:r>
        <w:t xml:space="preserve">sin factor de cobertura conocido cuando se requiere convertir a</w:t>
      </w:r>
      <w:r>
        <w:t xml:space="preserve"> </w:t>
      </w:r>
      <w:r>
        <w:rPr>
          <w:rStyle w:val="VerbatimChar"/>
        </w:rPr>
        <w:t xml:space="preserve">u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Resultado y valor asignado en unidades distintas.</w:t>
      </w:r>
    </w:p>
    <w:p>
      <w:pPr>
        <w:pStyle w:val="Compact"/>
        <w:numPr>
          <w:ilvl w:val="0"/>
          <w:numId w:val="1002"/>
        </w:numPr>
      </w:pPr>
      <w:r>
        <w:t xml:space="preserve">Identificador de analito, nivel o ronda que no corresponde a la selección.</w:t>
      </w:r>
    </w:p>
    <w:bookmarkEnd w:id="14"/>
    <w:bookmarkStart w:id="18" w:name="evidencia-y-referencias"/>
    <w:p>
      <w:pPr>
        <w:pStyle w:val="Heading2"/>
      </w:pPr>
      <w:r>
        <w:t xml:space="preserve">Evidencia y referencias</w:t>
      </w:r>
    </w:p>
    <w:p>
      <w:pPr>
        <w:pStyle w:val="CaptionedFigure"/>
      </w:pPr>
      <w:r>
        <w:drawing>
          <wp:inline>
            <wp:extent cx="5334000" cy="19398720"/>
            <wp:effectExtent b="0" l="0" r="0" t="0"/>
            <wp:docPr descr="CAP-12. Resumen de puntajes." title="" id="16" name="Picture"/>
            <a:graphic>
              <a:graphicData uri="http://schemas.openxmlformats.org/drawingml/2006/picture">
                <pic:pic>
                  <pic:nvPicPr>
                    <pic:cNvPr descr="../../00_evidencia_visual/capturas/CAP-12_puntajes_resume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8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CAP-12. Resumen de puntajes.</w:t>
      </w:r>
    </w:p>
    <w:p>
      <w:pPr>
        <w:pStyle w:val="BodyText"/>
      </w:pPr>
      <w:r>
        <w:rPr>
          <w:b/>
          <w:bCs/>
        </w:rPr>
        <w:t xml:space="preserve">Figura CAP-12.</w:t>
      </w:r>
      <w:r>
        <w:t xml:space="preserve"> </w:t>
      </w:r>
      <w:r>
        <w:t xml:space="preserve">Resumen operativo. CAP-13 documenta z y z’; CAP-14 documenta</w:t>
      </w:r>
      <w:r>
        <w:t xml:space="preserve"> </w:t>
      </w:r>
      <w:r>
        <w:t xml:space="preserve">zeta y En. Metadatos y hashes:</w:t>
      </w:r>
      <w:r>
        <w:t xml:space="preserve"> </w:t>
      </w:r>
      <w:r>
        <w:rPr>
          <w:rStyle w:val="VerbatimChar"/>
        </w:rPr>
        <w:t xml:space="preserve">../../00_evidencia_visual/indice_capturas.md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Autoridad matemática:</w:t>
      </w:r>
      <w:r>
        <w:t xml:space="preserve"> </w:t>
      </w:r>
      <w:r>
        <w:rPr>
          <w:rStyle w:val="VerbatimChar"/>
        </w:rPr>
        <w:t xml:space="preserve">ptcalc/R/pt_scores.R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Orquestación vigente: funciones de puntajes en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Pruebas:</w:t>
      </w:r>
      <w:r>
        <w:t xml:space="preserve"> </w:t>
      </w:r>
      <w:r>
        <w:rPr>
          <w:rStyle w:val="VerbatimChar"/>
        </w:rPr>
        <w:t xml:space="preserve">tests/testthat/test-final-scores-export.R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tests/testthat/test-entregables-fase-4.R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Referencia declarada por el código: ISO 13528:2022, sección 10.</w:t>
      </w:r>
    </w:p>
    <w:p>
      <w:pPr>
        <w:pStyle w:val="Compact"/>
        <w:numPr>
          <w:ilvl w:val="0"/>
          <w:numId w:val="1003"/>
        </w:numPr>
      </w:pPr>
      <w:r>
        <w:t xml:space="preserve">La coincidencia con el código no constituye certificación normativa externa.</w:t>
      </w:r>
    </w:p>
    <w:bookmarkEnd w:id="18"/>
    <w:bookmarkStart w:id="19" w:name="historial-de-cambios"/>
    <w:p>
      <w:pPr>
        <w:pStyle w:val="Heading2"/>
      </w:pPr>
      <w:r>
        <w:t xml:space="preserve">Historial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2026-01-24</w:t>
            </w:r>
          </w:p>
        </w:tc>
        <w:tc>
          <w:tcPr/>
          <w:p>
            <w:pPr>
              <w:pStyle w:val="Compact"/>
            </w:pPr>
            <w:r>
              <w:t xml:space="preserve">Fórmulas y ejemplos iniciales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Fórmulas verificadas, límites exactos, NA, escalas de incertidumbre y ejemplo reproducible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C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2026-07-14T18:50:53Z</dcterms:created>
  <dcterms:modified xsi:type="dcterms:W3CDTF">2026-07-14T18:50:53Z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