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e09-anexo-reproducible-de-cálculos"/>
    <w:p>
      <w:pPr>
        <w:pStyle w:val="Heading1"/>
      </w:pPr>
      <w:r>
        <w:t xml:space="preserve">E09 — Anexo reproducible de cálculos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DOC-E09-ANX-01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2026-07-14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Vigente contra</w:t>
            </w:r>
            <w:r>
              <w:t xml:space="preserve"> </w:t>
            </w:r>
            <w:r>
              <w:rPr>
                <w:rStyle w:val="VerbatimChar"/>
              </w:rPr>
              <w:t xml:space="preserve">ptcalc</w:t>
            </w:r>
            <w:r>
              <w:t xml:space="preserve">; aprobación externa pendiente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Unidad ilustrativa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µmol/mol</w:t>
            </w:r>
          </w:p>
        </w:tc>
      </w:tr>
    </w:tbl>
    <w:bookmarkStart w:id="9" w:name="propósito"/>
    <w:p>
      <w:pPr>
        <w:pStyle w:val="Heading2"/>
      </w:pPr>
      <w:r>
        <w:t xml:space="preserve">Propósito</w:t>
      </w:r>
    </w:p>
    <w:p>
      <w:pPr>
        <w:pStyle w:val="FirstParagraph"/>
      </w:pPr>
      <w:r>
        <w:t xml:space="preserve">Este anexo muestra las entradas y los pasos usados por la validación. Los datos</w:t>
      </w:r>
      <w:r>
        <w:t xml:space="preserve"> </w:t>
      </w:r>
      <w:r>
        <w:t xml:space="preserve">son sintéticos y deterministas. El archivo</w:t>
      </w:r>
      <w:r>
        <w:t xml:space="preserve"> </w:t>
      </w:r>
      <w:r>
        <w:rPr>
          <w:rStyle w:val="VerbatimChar"/>
        </w:rPr>
        <w:t xml:space="preserve">anexos/calculos_reproducibles.csv</w:t>
      </w:r>
      <w:r>
        <w:t xml:space="preserve"> </w:t>
      </w:r>
      <w:r>
        <w:t xml:space="preserve">contiene la precisión completa; las cifras</w:t>
      </w:r>
      <w:r>
        <w:t xml:space="preserve"> </w:t>
      </w:r>
      <w:r>
        <w:t xml:space="preserve">de las tablas siguientes están redondeadas solo para lectura.</w:t>
      </w:r>
    </w:p>
    <w:bookmarkEnd w:id="9"/>
    <w:bookmarkStart w:id="10" w:name="entradas"/>
    <w:p>
      <w:pPr>
        <w:pStyle w:val="Heading2"/>
      </w:pPr>
      <w:r>
        <w:t xml:space="preserve">Entradas</w:t>
      </w:r>
    </w:p>
    <w:p>
      <w:pPr>
        <w:pStyle w:val="SourceCode"/>
      </w:pPr>
      <w:r>
        <w:rPr>
          <w:rStyle w:val="NormalTok"/>
        </w:rPr>
        <w:t xml:space="preserve">hom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loatTok"/>
        </w:rPr>
        <w:t xml:space="preserve">9.98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9.99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loatTok"/>
        </w:rPr>
        <w:t xml:space="preserve">9.97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9.98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loatTok"/>
        </w:rPr>
        <w:t xml:space="preserve">10.02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10.04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loatTok"/>
        </w:rPr>
        <w:t xml:space="preserve">10.00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loatTok"/>
        </w:rPr>
        <w:t xml:space="preserve">9.99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10.02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participants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9.91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9.96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9.99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10.60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Cada fila de</w:t>
      </w:r>
      <w:r>
        <w:t xml:space="preserve"> </w:t>
      </w:r>
      <w:r>
        <w:rPr>
          <w:rStyle w:val="VerbatimChar"/>
        </w:rPr>
        <w:t xml:space="preserve">hom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stab</w:t>
      </w:r>
      <w:r>
        <w:t xml:space="preserve"> </w:t>
      </w:r>
      <w:r>
        <w:t xml:space="preserve">representa un ítem; cada columna, una réplica.</w:t>
      </w:r>
    </w:p>
    <w:bookmarkEnd w:id="10"/>
    <w:bookmarkStart w:id="11" w:name="homogeneidad"/>
    <w:p>
      <w:pPr>
        <w:pStyle w:val="Heading2"/>
      </w:pPr>
      <w:r>
        <w:t xml:space="preserve">Homogeneidad</w:t>
      </w:r>
    </w:p>
    <w:p>
      <w:pPr>
        <w:pStyle w:val="FirstParagraph"/>
      </w:pPr>
      <w:r>
        <w:t xml:space="preserve">Se calcula la media de cada ítem, la media general, la dispersión dentro de</w:t>
      </w:r>
      <w:r>
        <w:t xml:space="preserve"> </w:t>
      </w:r>
      <w:r>
        <w:t xml:space="preserve">ítems (</w:t>
      </w:r>
      <w:r>
        <w:rPr>
          <w:rStyle w:val="VerbatimChar"/>
        </w:rPr>
        <w:t xml:space="preserve">s_w</w:t>
      </w:r>
      <w:r>
        <w:t xml:space="preserve">) y la dispersión entre ítems (</w:t>
      </w:r>
      <w:r>
        <w:rPr>
          <w:rStyle w:val="VerbatimChar"/>
        </w:rPr>
        <w:t xml:space="preserve">s_s</w:t>
      </w:r>
      <w:r>
        <w:t xml:space="preserve">). Para dos réplicas:</w:t>
      </w:r>
    </w:p>
    <w:p>
      <w:pPr>
        <w:pStyle w:val="BodyText"/>
      </w:pPr>
      <w:r>
        <w:rPr>
          <w:rStyle w:val="VerbatimChar"/>
        </w:rPr>
        <w:t xml:space="preserve">s_w² = sum((x_i1 - x_i2)²) / (2g)</w:t>
      </w:r>
    </w:p>
    <w:p>
      <w:pPr>
        <w:pStyle w:val="BodyText"/>
      </w:pPr>
      <w:r>
        <w:rPr>
          <w:rStyle w:val="VerbatimChar"/>
        </w:rPr>
        <w:t xml:space="preserve">s_s² = max(0, s_xbar² - s_w² /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Magnitud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general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10.008500</w:t>
            </w:r>
          </w:p>
        </w:tc>
        <w:tc>
          <w:tcPr/>
          <w:p>
            <w:pPr>
              <w:pStyle w:val="Compact"/>
            </w:pPr>
            <w:r>
              <w:t xml:space="preserve">µmol/mol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s_w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0.017748</w:t>
            </w:r>
          </w:p>
        </w:tc>
        <w:tc>
          <w:tcPr/>
          <w:p>
            <w:pPr>
              <w:pStyle w:val="Compact"/>
            </w:pPr>
            <w:r>
              <w:t xml:space="preserve">µmol/mol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s_s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0.009037</w:t>
            </w:r>
          </w:p>
        </w:tc>
        <w:tc>
          <w:tcPr/>
          <w:p>
            <w:pPr>
              <w:pStyle w:val="Compact"/>
            </w:pPr>
            <w:r>
              <w:t xml:space="preserve">µmol/mol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MADe usado como</w:t>
            </w:r>
            <w:r>
              <w:t xml:space="preserve"> </w:t>
            </w:r>
            <w:r>
              <w:rPr>
                <w:rStyle w:val="VerbatimChar"/>
              </w:rPr>
              <w:t xml:space="preserve">sigma_pt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0.022245</w:t>
            </w:r>
          </w:p>
        </w:tc>
        <w:tc>
          <w:tcPr/>
          <w:p>
            <w:pPr>
              <w:pStyle w:val="Compact"/>
            </w:pPr>
            <w:r>
              <w:t xml:space="preserve">µmol/mol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Criterio básico</w:t>
            </w:r>
            <w:r>
              <w:t xml:space="preserve"> </w:t>
            </w:r>
            <w:r>
              <w:rPr>
                <w:rStyle w:val="VerbatimChar"/>
              </w:rPr>
              <w:t xml:space="preserve">0.3 sigma_pt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0.006674</w:t>
            </w:r>
          </w:p>
        </w:tc>
        <w:tc>
          <w:tcPr/>
          <w:p>
            <w:pPr>
              <w:pStyle w:val="Compact"/>
            </w:pPr>
            <w:r>
              <w:t xml:space="preserve">µmol/mol</w:t>
            </w:r>
          </w:p>
        </w:tc>
      </w:tr>
    </w:tbl>
    <w:p>
      <w:pPr>
        <w:pStyle w:val="BodyText"/>
      </w:pPr>
      <w:r>
        <w:t xml:space="preserve">El resultado básico es reproducible, pero</w:t>
      </w:r>
      <w:r>
        <w:t xml:space="preserve"> </w:t>
      </w:r>
      <w:r>
        <w:rPr>
          <w:rStyle w:val="VerbatimChar"/>
        </w:rPr>
        <w:t xml:space="preserve">s_s</w:t>
      </w:r>
      <w:r>
        <w:t xml:space="preserve"> </w:t>
      </w:r>
      <w:r>
        <w:t xml:space="preserve">supera el criterio. El término</w:t>
      </w:r>
      <w:r>
        <w:t xml:space="preserve"> </w:t>
      </w:r>
      <w:r>
        <w:t xml:space="preserve">expandido retornado por la implementación (</w:t>
      </w:r>
      <w:r>
        <w:rPr>
          <w:rStyle w:val="VerbatimChar"/>
        </w:rPr>
        <w:t xml:space="preserve">0.000402</w:t>
      </w:r>
      <w:r>
        <w:t xml:space="preserve">) tiene unidad cuadrática;</w:t>
      </w:r>
      <w:r>
        <w:t xml:space="preserve"> </w:t>
      </w:r>
      <w:r>
        <w:t xml:space="preserve">no se compara en este informe como si fuera una desviación. Esa incompatibilidad</w:t>
      </w:r>
      <w:r>
        <w:t xml:space="preserve"> </w:t>
      </w:r>
      <w:r>
        <w:t xml:space="preserve">permanece como</w:t>
      </w:r>
      <w:r>
        <w:t xml:space="preserve"> </w:t>
      </w:r>
      <w:r>
        <w:rPr>
          <w:rStyle w:val="VerbatimChar"/>
        </w:rPr>
        <w:t xml:space="preserve">OPEN_RISK</w:t>
      </w:r>
      <w:r>
        <w:t xml:space="preserve">.</w:t>
      </w:r>
    </w:p>
    <w:bookmarkEnd w:id="11"/>
    <w:bookmarkStart w:id="12" w:name="estabilidad"/>
    <w:p>
      <w:pPr>
        <w:pStyle w:val="Heading2"/>
      </w:pPr>
      <w:r>
        <w:t xml:space="preserve">Estabilidad</w:t>
      </w:r>
    </w:p>
    <w:p>
      <w:pPr>
        <w:pStyle w:val="FirstParagraph"/>
      </w:pPr>
      <w:r>
        <w:t xml:space="preserve">La diferencia es el valor absoluto entre la media de estabilidad y la media de</w:t>
      </w:r>
      <w:r>
        <w:t xml:space="preserve"> </w:t>
      </w:r>
      <w:r>
        <w:t xml:space="preserve">homogeneidad. El criterio básico es</w:t>
      </w:r>
      <w:r>
        <w:t xml:space="preserve"> </w:t>
      </w:r>
      <w:r>
        <w:rPr>
          <w:rStyle w:val="VerbatimChar"/>
        </w:rPr>
        <w:t xml:space="preserve">0.3 sigma_pt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Magnitud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de estabilidad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10.010000</w:t>
            </w:r>
          </w:p>
        </w:tc>
        <w:tc>
          <w:tcPr/>
          <w:p>
            <w:pPr>
              <w:pStyle w:val="Compact"/>
            </w:pPr>
            <w:r>
              <w:t xml:space="preserve">µmol/mol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Diferencia absoluta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0.001500</w:t>
            </w:r>
          </w:p>
        </w:tc>
        <w:tc>
          <w:tcPr/>
          <w:p>
            <w:pPr>
              <w:pStyle w:val="Compact"/>
            </w:pPr>
            <w:r>
              <w:t xml:space="preserve">µmol/mol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Criterio básico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0.006674</w:t>
            </w:r>
          </w:p>
        </w:tc>
        <w:tc>
          <w:tcPr/>
          <w:p>
            <w:pPr>
              <w:pStyle w:val="Compact"/>
            </w:pPr>
            <w:r>
              <w:t xml:space="preserve">µmol/mol</w:t>
            </w:r>
          </w:p>
        </w:tc>
      </w:tr>
    </w:tbl>
    <w:p>
      <w:pPr>
        <w:pStyle w:val="BodyText"/>
      </w:pPr>
      <w:r>
        <w:t xml:space="preserve">Como la diferencia es menor que el criterio, el caso sintético cumple el</w:t>
      </w:r>
      <w:r>
        <w:t xml:space="preserve"> </w:t>
      </w:r>
      <w:r>
        <w:t xml:space="preserve">criterio básico implementado.</w:t>
      </w:r>
    </w:p>
    <w:bookmarkEnd w:id="12"/>
    <w:bookmarkStart w:id="13" w:name="estimadores-robustos"/>
    <w:p>
      <w:pPr>
        <w:pStyle w:val="Heading2"/>
      </w:pPr>
      <w:r>
        <w:t xml:space="preserve">Estimadores robustos</w:t>
      </w:r>
    </w:p>
    <w:p>
      <w:pPr>
        <w:pStyle w:val="FirstParagraph"/>
      </w:pPr>
      <w:r>
        <w:rPr>
          <w:rStyle w:val="VerbatimChar"/>
        </w:rPr>
        <w:t xml:space="preserve">nIQR = 0.7413 × (Q3 - Q1)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MADe = 1.483 × mediana(|x_i - mediana(x)|)</w:t>
      </w:r>
      <w:r>
        <w:t xml:space="preserve">.</w:t>
      </w:r>
      <w:r>
        <w:t xml:space="preserve"> </w:t>
      </w:r>
      <w:r>
        <w:t xml:space="preserve">El Algoritmo A inicia con mediana y MADe, limita valores extremos y repite hasta</w:t>
      </w:r>
      <w:r>
        <w:t xml:space="preserve"> </w:t>
      </w:r>
      <w:r>
        <w:t xml:space="preserve">estabilizar tres cifras significativas según la implementación vigente.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 asignado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Dispersión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Mediana + nIQR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10.010000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Mediana + MADe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10.010000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0.059320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Algoritmo 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10.017023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0.079528</w:t>
            </w:r>
          </w:p>
        </w:tc>
      </w:tr>
    </w:tbl>
    <w:p>
      <w:pPr>
        <w:pStyle w:val="BodyText"/>
      </w:pPr>
      <w:r>
        <w:t xml:space="preserve">El detalle de cada iteración está en</w:t>
      </w:r>
      <w:r>
        <w:t xml:space="preserve"> </w:t>
      </w:r>
      <w:r>
        <w:rPr>
          <w:rStyle w:val="VerbatimChar"/>
        </w:rPr>
        <w:t xml:space="preserve">anexos/algoritmo_a_iteraciones.csv</w:t>
      </w:r>
      <w:r>
        <w:t xml:space="preserve">; una observación fue winsorizada.</w:t>
      </w:r>
    </w:p>
    <w:bookmarkEnd w:id="13"/>
    <w:bookmarkStart w:id="14" w:name="puntajes"/>
    <w:p>
      <w:pPr>
        <w:pStyle w:val="Heading2"/>
      </w:pPr>
      <w:r>
        <w:t xml:space="preserve">Puntajes</w:t>
      </w:r>
    </w:p>
    <w:p>
      <w:pPr>
        <w:pStyle w:val="FirstParagraph"/>
      </w:pPr>
      <w:r>
        <w:t xml:space="preserve">Para</w:t>
      </w:r>
      <w:r>
        <w:t xml:space="preserve"> </w:t>
      </w:r>
      <w:r>
        <w:rPr>
          <w:rStyle w:val="VerbatimChar"/>
        </w:rPr>
        <w:t xml:space="preserve">x = 10.08</w:t>
      </w:r>
      <w:r>
        <w:t xml:space="preserve">,</w:t>
      </w:r>
      <w:r>
        <w:t xml:space="preserve"> </w:t>
      </w:r>
      <w:r>
        <w:rPr>
          <w:rStyle w:val="VerbatimChar"/>
        </w:rPr>
        <w:t xml:space="preserve">x_pt = 10.00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sigma_pt = 0.05</w:t>
      </w:r>
      <w:r>
        <w:t xml:space="preserve">,</w:t>
      </w:r>
      <w:r>
        <w:t xml:space="preserve"> </w:t>
      </w:r>
      <w:r>
        <w:rPr>
          <w:rStyle w:val="VerbatimChar"/>
        </w:rPr>
        <w:t xml:space="preserve">u_x = 0.03</w:t>
      </w:r>
      <w:r>
        <w:t xml:space="preserve">,</w:t>
      </w:r>
      <w:r>
        <w:t xml:space="preserve"> </w:t>
      </w:r>
      <w:r>
        <w:rPr>
          <w:rStyle w:val="VerbatimChar"/>
        </w:rPr>
        <w:t xml:space="preserve">u_xpt = 0.01</w:t>
      </w:r>
      <w:r>
        <w:t xml:space="preserve">,</w:t>
      </w:r>
      <w:r>
        <w:t xml:space="preserve"> </w:t>
      </w:r>
      <w:r>
        <w:rPr>
          <w:rStyle w:val="VerbatimChar"/>
        </w:rPr>
        <w:t xml:space="preserve">U_x = 0.06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U_xpt = 0.02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Puntaje</w:t>
            </w:r>
          </w:p>
        </w:tc>
        <w:tc>
          <w:tcPr/>
          <w:p>
            <w:pPr>
              <w:pStyle w:val="Compact"/>
            </w:pPr>
            <w:r>
              <w:t xml:space="preserve">Fórmula operativa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(x - x_pt) / sigma_pt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(x - x_pt) / sqrt(sigma_pt² + u_xpt²)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1.568929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(x - x_pt) / sqrt(u_x² + u_xpt²)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2.529822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(x - x_pt) / sqrt(U_x² + U_xpt²)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1.264911</w:t>
            </w:r>
          </w:p>
        </w:tc>
      </w:tr>
    </w:tbl>
    <w:p>
      <w:pPr>
        <w:pStyle w:val="BodyText"/>
      </w:pPr>
      <w:r>
        <w:t xml:space="preserve">Las comparaciones se realizan con los valores sin redondear. Las pruebas</w:t>
      </w:r>
      <w:r>
        <w:t xml:space="preserve"> </w:t>
      </w:r>
      <w:r>
        <w:t xml:space="preserve">también verifican las fronteras</w:t>
      </w:r>
      <w:r>
        <w:t xml:space="preserve"> </w:t>
      </w:r>
      <w:r>
        <w:rPr>
          <w:rStyle w:val="VerbatimChar"/>
        </w:rPr>
        <w:t xml:space="preserve">|z| = 2</w:t>
      </w:r>
      <w:r>
        <w:t xml:space="preserve">,</w:t>
      </w:r>
      <w:r>
        <w:t xml:space="preserve"> </w:t>
      </w:r>
      <w:r>
        <w:rPr>
          <w:rStyle w:val="VerbatimChar"/>
        </w:rPr>
        <w:t xml:space="preserve">|z| = 3</w:t>
      </w:r>
      <w:r>
        <w:t xml:space="preserve">,</w:t>
      </w:r>
      <w:r>
        <w:t xml:space="preserve"> </w:t>
      </w:r>
      <w:r>
        <w:rPr>
          <w:rStyle w:val="VerbatimChar"/>
        </w:rPr>
        <w:t xml:space="preserve">|En| = 1</w:t>
      </w:r>
      <w:r>
        <w:t xml:space="preserve"> </w:t>
      </w:r>
      <w:r>
        <w:t xml:space="preserve">y que un</w:t>
      </w:r>
      <w:r>
        <w:t xml:space="preserve"> </w:t>
      </w:r>
      <w:r>
        <w:t xml:space="preserve">denominador inválido produzca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en vez de una cifra engañosa.</w:t>
      </w:r>
    </w:p>
    <w:bookmarkEnd w:id="14"/>
    <w:bookmarkStart w:id="15" w:name="archivos-de-auditoría"/>
    <w:p>
      <w:pPr>
        <w:pStyle w:val="Heading2"/>
      </w:pPr>
      <w:r>
        <w:t xml:space="preserve">Archivos de auditoría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anexos/calculos_reproducibles.csv</w:t>
      </w:r>
      <w:r>
        <w:t xml:space="preserve">: resultados a precisión completa.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anexos/algoritmo_a_iteraciones.csv</w:t>
      </w:r>
      <w:r>
        <w:t xml:space="preserve">: iteraciones completas.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anexos/matriz_validacion.csv</w:t>
      </w:r>
      <w:r>
        <w:t xml:space="preserve">: esperado, obtenido, evidencia y estado.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anexos/entorno_ejecucion.txt</w:t>
      </w:r>
      <w:r>
        <w:t xml:space="preserve">: commits, estado local y versiones.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anexos/ptcalc_worktree.patch</w:t>
      </w:r>
      <w:r>
        <w:t xml:space="preserve">: cambios locales exactos del núcleo ejecutado.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anexos/ptcalc_fuentes_sha256.csv</w:t>
      </w:r>
      <w:r>
        <w:t xml:space="preserve">: hashes de todas las fuentes R cargadas.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anexos/generacion_log.txt</w:t>
      </w:r>
      <w:r>
        <w:t xml:space="preserve">: resumen de ejecución.</w:t>
      </w:r>
    </w:p>
    <w:p>
      <w:pPr>
        <w:pStyle w:val="FirstParagraph"/>
      </w:pPr>
      <w:r>
        <w:t xml:space="preserve">La evidencia comprueba la implementación evaluada; no reemplaza una revisión</w:t>
      </w:r>
      <w:r>
        <w:t xml:space="preserve"> </w:t>
      </w:r>
      <w:r>
        <w:t xml:space="preserve">normativa independiente ni una decisión profesional sobre una ronda real.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CO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2026-07-14T19:46:40Z</dcterms:created>
  <dcterms:modified xsi:type="dcterms:W3CDTF">2026-07-14T19:46:40Z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