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Informe final de validación del aplicativo PT</w:t>
      </w:r>
    </w:p>
    <w:p>
      <w:pPr>
        <w:pStyle w:val="Date"/>
      </w:pPr>
      <w:r>
        <w:t xml:space="preserve">2026-07-14</w:t>
      </w:r>
    </w:p>
    <w:bookmarkStart w:id="24" w:name="X426f420eac5585bb3e35a7af3d2d23440ccd999"/>
    <w:p>
      <w:pPr>
        <w:pStyle w:val="Heading1"/>
      </w:pPr>
      <w:r>
        <w:t xml:space="preserve">Entregable 09 — Informe final de validación</w:t>
      </w:r>
    </w:p>
    <w:bookmarkStart w:id="9" w:name="resumen-para-decisión"/>
    <w:p>
      <w:pPr>
        <w:pStyle w:val="Heading2"/>
      </w:pPr>
      <w:r>
        <w:t xml:space="preserve">Resumen para decisión</w:t>
      </w:r>
    </w:p>
    <w:p>
      <w:pPr>
        <w:pStyle w:val="FirstParagraph"/>
      </w:pPr>
      <w:r>
        <w:t xml:space="preserve">Se reejecutaron 12 casos deterministas sobre el núcleo</w:t>
      </w:r>
      <w:r>
        <w:t xml:space="preserve"> </w:t>
      </w:r>
      <w:r>
        <w:rPr>
          <w:rStyle w:val="VerbatimChar"/>
        </w:rPr>
        <w:t xml:space="preserve">ptcalc</w:t>
      </w:r>
      <w:r>
        <w:t xml:space="preserve"> </w:t>
      </w:r>
      <w:r>
        <w:t xml:space="preserve">que está en el</w:t>
      </w:r>
      <w:r>
        <w:t xml:space="preserve"> </w:t>
      </w:r>
      <w:r>
        <w:t xml:space="preserve">workspace: 11 aprobaron y uno quedó como riesgo técnico abierto. Las pruebas</w:t>
      </w:r>
      <w:r>
        <w:t xml:space="preserve"> </w:t>
      </w:r>
      <w:r>
        <w:t xml:space="preserve">confirman, dentro del alcance descrito, cálculos reproducibles de homogeneidad,</w:t>
      </w:r>
      <w:r>
        <w:t xml:space="preserve"> </w:t>
      </w:r>
      <w:r>
        <w:t xml:space="preserve">estabilidad, nIQR, MADe, Algoritmo A y puntajes z, z’, zeta y En. No demuestran</w:t>
      </w:r>
      <w:r>
        <w:t xml:space="preserve"> </w:t>
      </w:r>
      <w:r>
        <w:t xml:space="preserve">por sí solas la competencia de un proveedor, la conformidad integral con una</w:t>
      </w:r>
      <w:r>
        <w:t xml:space="preserve"> </w:t>
      </w:r>
      <w:r>
        <w:t xml:space="preserve">norma ni la aceptación contractual del aplicativo.</w:t>
      </w:r>
    </w:p>
    <w:p>
      <w:pPr>
        <w:pStyle w:val="BodyText"/>
      </w:pPr>
      <w:r>
        <w:t xml:space="preserve">El riesgo abierto está en el criterio expandido de homogeneidad: la función</w:t>
      </w:r>
      <w:r>
        <w:t xml:space="preserve"> </w:t>
      </w:r>
      <w:r>
        <w:t xml:space="preserve">retorna una magnitud cuadrática y la ruta vigente de la aplicación la invoca con</w:t>
      </w:r>
      <w:r>
        <w:t xml:space="preserve"> </w:t>
      </w:r>
      <w:r>
        <w:t xml:space="preserve">argumentos posicionales incompatibles; la prueba reproduce</w:t>
      </w:r>
      <w:r>
        <w:t xml:space="preserve"> </w:t>
      </w:r>
      <w:r>
        <w:rPr>
          <w:rStyle w:val="VerbatimChar"/>
        </w:rPr>
        <w:t xml:space="preserve">Invalid arguments</w:t>
      </w:r>
      <w:r>
        <w:t xml:space="preserve">.</w:t>
      </w:r>
      <w:r>
        <w:t xml:space="preserve"> </w:t>
      </w:r>
      <w:r>
        <w:t xml:space="preserve">El criterio básico sí fue ejecutado y</w:t>
      </w:r>
      <w:r>
        <w:t xml:space="preserve"> </w:t>
      </w:r>
      <w:r>
        <w:t xml:space="preserve">verificado. Hasta corregir y validar ese defecto, no debe usarse la salida</w:t>
      </w:r>
      <w:r>
        <w:t xml:space="preserve"> </w:t>
      </w:r>
      <w:r>
        <w:t xml:space="preserve">expandida para una decisión operativa.</w:t>
      </w:r>
    </w:p>
    <w:bookmarkEnd w:id="9"/>
    <w:bookmarkStart w:id="10" w:name="control-documental"/>
    <w:p>
      <w:pPr>
        <w:pStyle w:val="Heading2"/>
      </w:pPr>
      <w:r>
        <w:t xml:space="preserve">Control documental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 evaluada</w:t>
            </w:r>
          </w:p>
        </w:tc>
        <w:tc>
          <w:tcPr/>
          <w:p>
            <w:pPr>
              <w:pStyle w:val="Compact"/>
            </w:pPr>
            <w:r>
              <w:t xml:space="preserve">Commit y estado raíz registrados en</w:t>
            </w:r>
            <w:r>
              <w:t xml:space="preserve"> </w:t>
            </w:r>
            <w:r>
              <w:rPr>
                <w:rStyle w:val="VerbatimChar"/>
              </w:rPr>
              <w:t xml:space="preserve">anexos/entorno_ejecucion.txt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Núcleo estadístico</w:t>
            </w:r>
          </w:p>
        </w:tc>
        <w:tc>
          <w:tcPr/>
          <w:p>
            <w:pPr>
              <w:pStyle w:val="Compact"/>
            </w:pPr>
            <w:r>
              <w:t xml:space="preserve">Commit, estado, diff binario y hashes de fuentes registrados en anexos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Datos</w:t>
            </w:r>
          </w:p>
        </w:tc>
        <w:tc>
          <w:tcPr/>
          <w:p>
            <w:pPr>
              <w:pStyle w:val="Compact"/>
            </w:pPr>
            <w:r>
              <w:t xml:space="preserve">Sintéticos, deterministas y sin información sensible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de ejecución</w:t>
            </w:r>
          </w:p>
        </w:tc>
        <w:tc>
          <w:tcPr/>
          <w:p>
            <w:pPr>
              <w:pStyle w:val="Compact"/>
            </w:pPr>
            <w:r>
              <w:t xml:space="preserve">2026-07-14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11 PASS; 1 OPEN_RISK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Aprobación externa/contractual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</w:tbl>
    <w:bookmarkEnd w:id="10"/>
    <w:bookmarkStart w:id="13" w:name="alcance-y-exclusiones"/>
    <w:p>
      <w:pPr>
        <w:pStyle w:val="Heading2"/>
      </w:pPr>
      <w:r>
        <w:t xml:space="preserve">1. Alcance y exclusiones</w:t>
      </w:r>
    </w:p>
    <w:bookmarkStart w:id="11" w:name="incluido"/>
    <w:p>
      <w:pPr>
        <w:pStyle w:val="Heading3"/>
      </w:pPr>
      <w:r>
        <w:t xml:space="preserve">Incluido</w:t>
      </w:r>
    </w:p>
    <w:p>
      <w:pPr>
        <w:pStyle w:val="Compact"/>
        <w:numPr>
          <w:ilvl w:val="0"/>
          <w:numId w:val="1001"/>
        </w:numPr>
      </w:pPr>
      <w:r>
        <w:t xml:space="preserve">Funciones cargadas con</w:t>
      </w:r>
      <w:r>
        <w:t xml:space="preserve"> </w:t>
      </w:r>
      <w:r>
        <w:rPr>
          <w:rStyle w:val="VerbatimChar"/>
        </w:rPr>
        <w:t xml:space="preserve">devtools::load_all("ptcalc")</w:t>
      </w:r>
      <w:r>
        <w:t xml:space="preserve"> </w:t>
      </w:r>
      <w:r>
        <w:t xml:space="preserve">para homogeneidad,</w:t>
      </w:r>
      <w:r>
        <w:t xml:space="preserve"> </w:t>
      </w:r>
      <w:r>
        <w:t xml:space="preserve">estabilidad, estadísticos robustos y puntajes.</w:t>
      </w:r>
    </w:p>
    <w:p>
      <w:pPr>
        <w:pStyle w:val="Compact"/>
        <w:numPr>
          <w:ilvl w:val="0"/>
          <w:numId w:val="1001"/>
        </w:numPr>
      </w:pPr>
      <w:r>
        <w:t xml:space="preserve">Casos numéricos con precisión completa, fronteras de clasificación y</w:t>
      </w:r>
      <w:r>
        <w:t xml:space="preserve"> </w:t>
      </w:r>
      <w:r>
        <w:t xml:space="preserve">denominadores inválidos.</w:t>
      </w:r>
    </w:p>
    <w:p>
      <w:pPr>
        <w:pStyle w:val="Compact"/>
        <w:numPr>
          <w:ilvl w:val="0"/>
          <w:numId w:val="1001"/>
        </w:numPr>
      </w:pPr>
      <w:r>
        <w:t xml:space="preserve">Reproducibilidad de anexos, integridad de derivados y trazabilidad a código,</w:t>
      </w:r>
      <w:r>
        <w:t xml:space="preserve"> </w:t>
      </w:r>
      <w:r>
        <w:t xml:space="preserve">pruebas, capturas y entorno.</w:t>
      </w:r>
    </w:p>
    <w:p>
      <w:pPr>
        <w:pStyle w:val="Compact"/>
        <w:numPr>
          <w:ilvl w:val="0"/>
          <w:numId w:val="1001"/>
        </w:numPr>
      </w:pPr>
      <w:r>
        <w:t xml:space="preserve">Evidencia visual del flujo vigente generada en la Fase 3.</w:t>
      </w:r>
    </w:p>
    <w:bookmarkEnd w:id="11"/>
    <w:bookmarkStart w:id="12" w:name="no-incluido"/>
    <w:p>
      <w:pPr>
        <w:pStyle w:val="Heading3"/>
      </w:pPr>
      <w:r>
        <w:t xml:space="preserve">No incluido</w:t>
      </w:r>
    </w:p>
    <w:p>
      <w:pPr>
        <w:pStyle w:val="Compact"/>
        <w:numPr>
          <w:ilvl w:val="0"/>
          <w:numId w:val="1002"/>
        </w:numPr>
      </w:pPr>
      <w:r>
        <w:t xml:space="preserve">Certificación, acreditación o auditoría de competencia del proveedor.</w:t>
      </w:r>
    </w:p>
    <w:p>
      <w:pPr>
        <w:pStyle w:val="Compact"/>
        <w:numPr>
          <w:ilvl w:val="0"/>
          <w:numId w:val="1002"/>
        </w:numPr>
      </w:pPr>
      <w:r>
        <w:t xml:space="preserve">Revisión cláusula por cláusula de textos normativos licenciados.</w:t>
      </w:r>
    </w:p>
    <w:p>
      <w:pPr>
        <w:pStyle w:val="Compact"/>
        <w:numPr>
          <w:ilvl w:val="0"/>
          <w:numId w:val="1002"/>
        </w:numPr>
      </w:pPr>
      <w:r>
        <w:t xml:space="preserve">Aprobación contractual, porque no se encontró contrato, TDR ni acta primaria</w:t>
      </w:r>
      <w:r>
        <w:t xml:space="preserve"> </w:t>
      </w:r>
      <w:r>
        <w:t xml:space="preserve">en el workspace.</w:t>
      </w:r>
    </w:p>
    <w:p>
      <w:pPr>
        <w:pStyle w:val="Compact"/>
        <w:numPr>
          <w:ilvl w:val="0"/>
          <w:numId w:val="1002"/>
        </w:numPr>
      </w:pPr>
      <w:r>
        <w:t xml:space="preserve">Seguridad ofensiva, carga, accesibilidad formal o validación en todos los</w:t>
      </w:r>
      <w:r>
        <w:t xml:space="preserve"> </w:t>
      </w:r>
      <w:r>
        <w:t xml:space="preserve">sistemas operativos y navegadores.</w:t>
      </w:r>
    </w:p>
    <w:p>
      <w:pPr>
        <w:pStyle w:val="Compact"/>
        <w:numPr>
          <w:ilvl w:val="0"/>
          <w:numId w:val="1002"/>
        </w:numPr>
      </w:pPr>
      <w:r>
        <w:t xml:space="preserve">Corrección del defecto del criterio expandido o publicación del repositorio</w:t>
      </w:r>
      <w:r>
        <w:t xml:space="preserve"> </w:t>
      </w:r>
      <w:r>
        <w:t xml:space="preserve">anidado</w:t>
      </w:r>
      <w:r>
        <w:t xml:space="preserve"> </w:t>
      </w:r>
      <w:r>
        <w:rPr>
          <w:rStyle w:val="VerbatimChar"/>
        </w:rPr>
        <w:t xml:space="preserve">ptcalc</w:t>
      </w:r>
      <w:r>
        <w:t xml:space="preserve">; ambos se registran como riesgos, no como resultados válidos.</w:t>
      </w:r>
    </w:p>
    <w:bookmarkEnd w:id="12"/>
    <w:bookmarkEnd w:id="13"/>
    <w:bookmarkStart w:id="14" w:name="método-y-criterio-de-aceptación"/>
    <w:p>
      <w:pPr>
        <w:pStyle w:val="Heading2"/>
      </w:pPr>
      <w:r>
        <w:t xml:space="preserve">2. Método y criterio de aceptación</w:t>
      </w:r>
    </w:p>
    <w:p>
      <w:pPr>
        <w:pStyle w:val="FirstParagraph"/>
      </w:pPr>
      <w:r>
        <w:t xml:space="preserve">El generador</w:t>
      </w:r>
      <w:r>
        <w:t xml:space="preserve"> </w:t>
      </w:r>
      <w:r>
        <w:rPr>
          <w:rStyle w:val="VerbatimChar"/>
        </w:rPr>
        <w:t xml:space="preserve">R/genera_anexos.R</w:t>
      </w:r>
      <w:r>
        <w:t xml:space="preserve"> </w:t>
      </w:r>
      <w:r>
        <w:t xml:space="preserve">carga el código de desarrollo vigente, crea un</w:t>
      </w:r>
      <w:r>
        <w:t xml:space="preserve"> </w:t>
      </w:r>
      <w:r>
        <w:t xml:space="preserve">conjunto sintético fijo y escribe resultados, iteraciones, matriz y entorno. La</w:t>
      </w:r>
      <w:r>
        <w:t xml:space="preserve"> </w:t>
      </w:r>
      <w:r>
        <w:t xml:space="preserve">prueba</w:t>
      </w:r>
      <w:r>
        <w:t xml:space="preserve"> </w:t>
      </w:r>
      <w:r>
        <w:rPr>
          <w:rStyle w:val="VerbatimChar"/>
        </w:rPr>
        <w:t xml:space="preserve">tests/test_09_reproducibilidad.R</w:t>
      </w:r>
      <w:r>
        <w:t xml:space="preserve"> </w:t>
      </w:r>
      <w:r>
        <w:t xml:space="preserve">compara valores esperados con</w:t>
      </w:r>
      <w:r>
        <w:t xml:space="preserve"> </w:t>
      </w:r>
      <w:r>
        <w:t xml:space="preserve">tolerancias explícitas, verifica fronteras, entradas inválidas y artefactos.</w:t>
      </w:r>
    </w:p>
    <w:p>
      <w:pPr>
        <w:pStyle w:val="BodyText"/>
      </w:pPr>
      <w:r>
        <w:t xml:space="preserve">Los valores esperados están congelados en la prueba focal y se comparan con</w:t>
      </w:r>
      <w:r>
        <w:t xml:space="preserve"> </w:t>
      </w:r>
      <w:r>
        <w:t xml:space="preserve">tolerancias explícitas; no se acepta únicamente que una salida sea finita. Un</w:t>
      </w:r>
      <w:r>
        <w:t xml:space="preserve"> </w:t>
      </w:r>
      <w:r>
        <w:t xml:space="preserve">caso es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cuando el resultado coincide con el esperado y existe</w:t>
      </w:r>
      <w:r>
        <w:t xml:space="preserve"> </w:t>
      </w:r>
      <w:r>
        <w:t xml:space="preserve">evidencia reproducible.</w:t>
      </w:r>
      <w:r>
        <w:t xml:space="preserve"> </w:t>
      </w:r>
      <w:r>
        <w:rPr>
          <w:rStyle w:val="VerbatimChar"/>
        </w:rPr>
        <w:t xml:space="preserve">OPEN_RISK</w:t>
      </w:r>
      <w:r>
        <w:t xml:space="preserve"> </w:t>
      </w:r>
      <w:r>
        <w:t xml:space="preserve">significa que la función o integración no</w:t>
      </w:r>
      <w:r>
        <w:t xml:space="preserve"> </w:t>
      </w:r>
      <w:r>
        <w:t xml:space="preserve">es apta todavía para sustentar la afirmación evaluada. El redondeo se aplica</w:t>
      </w:r>
      <w:r>
        <w:t xml:space="preserve"> </w:t>
      </w:r>
      <w:r>
        <w:t xml:space="preserve">solo en este informe; los CSV conservan la precisión de R.</w:t>
      </w:r>
    </w:p>
    <w:bookmarkEnd w:id="14"/>
    <w:bookmarkStart w:id="18" w:name="resultados-consolidados"/>
    <w:p>
      <w:pPr>
        <w:pStyle w:val="Heading2"/>
      </w:pPr>
      <w:r>
        <w:t xml:space="preserve">3. Resultados consolidados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Grupo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Casos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Evidencia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Homogeneidad y estabilidad básicas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anexos/calculos_reproducibles.csv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nIQR, MADe y Algoritmo 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CSV de cálculos e iteraciones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z, z’, zeta y 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CSV y prueba focal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Fronteras e inválidos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Prueba focal E09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Criterio expandido de homogeneidad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OPEN_RISK</w:t>
            </w:r>
          </w:p>
        </w:tc>
        <w:tc>
          <w:tcPr/>
          <w:p>
            <w:pPr>
              <w:pStyle w:val="Compact"/>
            </w:pPr>
            <w:r>
              <w:t xml:space="preserve">Código vigente y defecto documentado en E03</w:t>
            </w:r>
          </w:p>
        </w:tc>
      </w:tr>
    </w:tbl>
    <w:p>
      <w:pPr>
        <w:pStyle w:val="BodyText"/>
      </w:pPr>
      <w:r>
        <w:t xml:space="preserve">La matriz completa está en</w:t>
      </w:r>
      <w:r>
        <w:t xml:space="preserve"> </w:t>
      </w:r>
      <w:r>
        <w:rPr>
          <w:rStyle w:val="VerbatimChar"/>
        </w:rPr>
        <w:t xml:space="preserve">anexos/matriz_validacion.csv</w:t>
      </w:r>
      <w:r>
        <w:t xml:space="preserve">. Cada fila contiene</w:t>
      </w:r>
      <w:r>
        <w:t xml:space="preserve"> </w:t>
      </w:r>
      <w:r>
        <w:t xml:space="preserve">capacidad, resultado esperado, resultado obtenido, evidencia, estado y</w:t>
      </w:r>
      <w:r>
        <w:t xml:space="preserve"> </w:t>
      </w:r>
      <w:r>
        <w:t xml:space="preserve">responsable. El log de ejecución y las versiones del entorno están en</w:t>
      </w:r>
      <w:r>
        <w:t xml:space="preserve"> </w:t>
      </w:r>
      <w:r>
        <w:rPr>
          <w:rStyle w:val="VerbatimChar"/>
        </w:rPr>
        <w:t xml:space="preserve">anexos/generacion_log.txt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anexos/entorno_ejecucion.txt</w:t>
      </w:r>
      <w:r>
        <w:t xml:space="preserve">.</w:t>
      </w:r>
    </w:p>
    <w:p>
      <w:pPr>
        <w:pStyle w:val="CaptionedFigure"/>
      </w:pPr>
      <w:r>
        <w:drawing>
          <wp:inline>
            <wp:extent cx="5334000" cy="10882841"/>
            <wp:effectExtent b="0" l="0" r="0" t="0"/>
            <wp:docPr descr="CAP-15. Informe global del aplicativo vigente." title="" id="16" name="Picture"/>
            <a:graphic>
              <a:graphicData uri="http://schemas.openxmlformats.org/drawingml/2006/picture">
                <pic:pic>
                  <pic:nvPicPr>
                    <pic:cNvPr descr="../../00_evidencia_visual/capturas/CAP-15_informe_global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82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CAP-15. Informe global del aplicativo vigente.</w:t>
      </w:r>
    </w:p>
    <w:p>
      <w:pPr>
        <w:pStyle w:val="BodyText"/>
      </w:pPr>
      <w:r>
        <w:rPr>
          <w:b/>
          <w:bCs/>
        </w:rPr>
        <w:t xml:space="preserve">Figura CAP-15.</w:t>
      </w:r>
      <w:r>
        <w:t xml:space="preserve"> </w:t>
      </w:r>
      <w:r>
        <w:t xml:space="preserve">Vista del informe global dentro del recorrido funcional. La</w:t>
      </w:r>
      <w:r>
        <w:t xml:space="preserve"> </w:t>
      </w:r>
      <w:r>
        <w:t xml:space="preserve">captura demuestra presentación e interacción, no exactitud matemática aislada;</w:t>
      </w:r>
      <w:r>
        <w:t xml:space="preserve"> </w:t>
      </w:r>
      <w:r>
        <w:t xml:space="preserve">esta última se sustenta con los CSV y pruebas.</w:t>
      </w:r>
    </w:p>
    <w:bookmarkEnd w:id="18"/>
    <w:bookmarkStart w:id="19" w:name="desviaciones-y-riesgos-residuales"/>
    <w:p>
      <w:pPr>
        <w:pStyle w:val="Heading2"/>
      </w:pPr>
      <w:r>
        <w:t xml:space="preserve">4. Desviaciones y riesgos residuales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Riesgo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Tratamiento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R-E09-01</w:t>
            </w:r>
          </w:p>
        </w:tc>
        <w:tc>
          <w:tcPr/>
          <w:p>
            <w:pPr>
              <w:pStyle w:val="Compact"/>
            </w:pPr>
            <w:r>
              <w:t xml:space="preserve">Criterio expandido mezcla firma posicional y unidad cuadrática</w:t>
            </w:r>
          </w:p>
        </w:tc>
        <w:tc>
          <w:tcPr/>
          <w:p>
            <w:pPr>
              <w:pStyle w:val="Compact"/>
            </w:pPr>
            <w:r>
              <w:t xml:space="preserve">La rama vigente produce</w:t>
            </w:r>
            <w:r>
              <w:t xml:space="preserve"> </w:t>
            </w:r>
            <w:r>
              <w:rPr>
                <w:rStyle w:val="VerbatimChar"/>
              </w:rPr>
              <w:t xml:space="preserve">Invalid arguments</w:t>
            </w:r>
            <w:r>
              <w:t xml:space="preserve"> </w:t>
            </w:r>
            <w:r>
              <w:t xml:space="preserve">y no sustenta una decisión expandida</w:t>
            </w:r>
          </w:p>
        </w:tc>
        <w:tc>
          <w:tcPr/>
          <w:p>
            <w:pPr>
              <w:pStyle w:val="Compact"/>
            </w:pPr>
            <w:r>
              <w:t xml:space="preserve">No usar; corregir código y añadir prueba dimensional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R-E09-02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ptcalc</w:t>
            </w:r>
            <w:r>
              <w:t xml:space="preserve"> </w:t>
            </w:r>
            <w:r>
              <w:t xml:space="preserve">es un repositorio anidado con cambios locales</w:t>
            </w:r>
          </w:p>
        </w:tc>
        <w:tc>
          <w:tcPr/>
          <w:p>
            <w:pPr>
              <w:pStyle w:val="Compact"/>
            </w:pPr>
            <w:r>
              <w:t xml:space="preserve">El commit raíz no reproduce por sí solo el núcleo</w:t>
            </w:r>
          </w:p>
        </w:tc>
        <w:tc>
          <w:tcPr/>
          <w:p>
            <w:pPr>
              <w:pStyle w:val="Compact"/>
            </w:pPr>
            <w:r>
              <w:t xml:space="preserve">Publicar/fijar el commit y conservar el estado registrado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R-E09-03</w:t>
            </w:r>
          </w:p>
        </w:tc>
        <w:tc>
          <w:tcPr/>
          <w:p>
            <w:pPr>
              <w:pStyle w:val="Compact"/>
            </w:pPr>
            <w:r>
              <w:t xml:space="preserve">No hay contrato/TDR/acta primaria</w:t>
            </w:r>
          </w:p>
        </w:tc>
        <w:tc>
          <w:tcPr/>
          <w:p>
            <w:pPr>
              <w:pStyle w:val="Compact"/>
            </w:pPr>
            <w:r>
              <w:t xml:space="preserve">No se puede declarar cobertura contractual completa</w:t>
            </w:r>
          </w:p>
        </w:tc>
        <w:tc>
          <w:tcPr/>
          <w:p>
            <w:pPr>
              <w:pStyle w:val="Compact"/>
            </w:pPr>
            <w:r>
              <w:t xml:space="preserve">Obtener fuente y ejecutar auditoría de Fase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R-E09-04</w:t>
            </w:r>
          </w:p>
        </w:tc>
        <w:tc>
          <w:tcPr/>
          <w:p>
            <w:pPr>
              <w:pStyle w:val="Compact"/>
            </w:pPr>
            <w:r>
              <w:t xml:space="preserve">No existe lockfile R</w:t>
            </w:r>
          </w:p>
        </w:tc>
        <w:tc>
          <w:tcPr/>
          <w:p>
            <w:pPr>
              <w:pStyle w:val="Compact"/>
            </w:pPr>
            <w:r>
              <w:t xml:space="preserve">El entorno puede variar entre instalaciones</w:t>
            </w:r>
          </w:p>
        </w:tc>
        <w:tc>
          <w:tcPr/>
          <w:p>
            <w:pPr>
              <w:pStyle w:val="Compact"/>
            </w:pPr>
            <w:r>
              <w:t xml:space="preserve">Crear</w:t>
            </w:r>
            <w:r>
              <w:t xml:space="preserve"> </w:t>
            </w:r>
            <w:r>
              <w:rPr>
                <w:rStyle w:val="VerbatimChar"/>
              </w:rPr>
              <w:t xml:space="preserve">renv.lock</w:t>
            </w:r>
            <w:r>
              <w:t xml:space="preserve"> </w:t>
            </w:r>
            <w:r>
              <w:t xml:space="preserve">probado antes de producción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R-E09-05</w:t>
            </w:r>
          </w:p>
        </w:tc>
        <w:tc>
          <w:tcPr/>
          <w:p>
            <w:pPr>
              <w:pStyle w:val="Compact"/>
            </w:pPr>
            <w:r>
              <w:t xml:space="preserve">Deuda visual de ajuste de DataTables</w:t>
            </w:r>
          </w:p>
        </w:tc>
        <w:tc>
          <w:tcPr/>
          <w:p>
            <w:pPr>
              <w:pStyle w:val="Compact"/>
            </w:pPr>
            <w:r>
              <w:t xml:space="preserve">Tablas ocultas pueden requerir reajuste al mostrarse</w:t>
            </w:r>
          </w:p>
        </w:tc>
        <w:tc>
          <w:tcPr/>
          <w:p>
            <w:pPr>
              <w:pStyle w:val="Compact"/>
            </w:pPr>
            <w:r>
              <w:t xml:space="preserve">Corregir y repetir prueba visual</w:t>
            </w:r>
          </w:p>
        </w:tc>
      </w:tr>
    </w:tbl>
    <w:bookmarkEnd w:id="19"/>
    <w:bookmarkStart w:id="20" w:name="referencias-normativas-controladas"/>
    <w:p>
      <w:pPr>
        <w:pStyle w:val="Heading2"/>
      </w:pPr>
      <w:r>
        <w:t xml:space="preserve">5. Referencias normativas controladas</w:t>
      </w:r>
    </w:p>
    <w:p>
      <w:pPr>
        <w:pStyle w:val="Compact"/>
        <w:numPr>
          <w:ilvl w:val="0"/>
          <w:numId w:val="1003"/>
        </w:numPr>
      </w:pPr>
      <w:r>
        <w:t xml:space="preserve">ISO 13528:2022,</w:t>
      </w:r>
      <w:r>
        <w:t xml:space="preserve"> </w:t>
      </w:r>
      <w:r>
        <w:rPr>
          <w:i/>
          <w:iCs/>
        </w:rPr>
        <w:t xml:space="preserve">Statistical methods for use in proficiency testing by</w:t>
      </w:r>
      <w:r>
        <w:rPr>
          <w:i/>
          <w:iCs/>
        </w:rPr>
        <w:t xml:space="preserve"> </w:t>
      </w:r>
      <w:r>
        <w:rPr>
          <w:i/>
          <w:iCs/>
        </w:rPr>
        <w:t xml:space="preserve">interlaboratory comparison</w:t>
      </w:r>
      <w:r>
        <w:t xml:space="preserve">, tercera edición, publicada en agosto de 2022.</w:t>
      </w:r>
    </w:p>
    <w:p>
      <w:pPr>
        <w:pStyle w:val="Compact"/>
        <w:numPr>
          <w:ilvl w:val="0"/>
          <w:numId w:val="1003"/>
        </w:numPr>
      </w:pPr>
      <w:r>
        <w:t xml:space="preserve">ISO/IEC 17043:2023,</w:t>
      </w:r>
      <w:r>
        <w:t xml:space="preserve"> </w:t>
      </w:r>
      <w:r>
        <w:rPr>
          <w:i/>
          <w:iCs/>
        </w:rPr>
        <w:t xml:space="preserve">Conformity assessment — General requirements for the</w:t>
      </w:r>
      <w:r>
        <w:rPr>
          <w:i/>
          <w:iCs/>
        </w:rPr>
        <w:t xml:space="preserve"> </w:t>
      </w:r>
      <w:r>
        <w:rPr>
          <w:i/>
          <w:iCs/>
        </w:rPr>
        <w:t xml:space="preserve">competence of proficiency testing providers</w:t>
      </w:r>
      <w:r>
        <w:t xml:space="preserve">, segunda edición, publicada en</w:t>
      </w:r>
      <w:r>
        <w:t xml:space="preserve"> </w:t>
      </w:r>
      <w:r>
        <w:t xml:space="preserve">mayo de 2023.</w:t>
      </w:r>
    </w:p>
    <w:p>
      <w:pPr>
        <w:pStyle w:val="FirstParagraph"/>
      </w:pPr>
      <w:r>
        <w:t xml:space="preserve">Las ediciones, URLs y estados se verificaron el 2026-07-14 en el catálogo</w:t>
      </w:r>
      <w:r>
        <w:t xml:space="preserve"> </w:t>
      </w:r>
      <w:r>
        <w:t xml:space="preserve">oficial de ISO y quedaron registrados en</w:t>
      </w:r>
      <w:r>
        <w:t xml:space="preserve"> </w:t>
      </w:r>
      <w:r>
        <w:rPr>
          <w:rStyle w:val="VerbatimChar"/>
        </w:rPr>
        <w:t xml:space="preserve">anexos/referencias_normativas.md</w:t>
      </w:r>
      <w:r>
        <w:t xml:space="preserve">. Hay una enmienda a ISO 13528:2022 en proceso de publicación; no se declara</w:t>
      </w:r>
      <w:r>
        <w:t xml:space="preserve"> </w:t>
      </w:r>
      <w:r>
        <w:t xml:space="preserve">incorporada a esta validación. Las normas completas son documentos protegidos y</w:t>
      </w:r>
      <w:r>
        <w:t xml:space="preserve"> </w:t>
      </w:r>
      <w:r>
        <w:t xml:space="preserve">su revisión de cláusulas requiere acceso autorizado. Las referencias internas</w:t>
      </w:r>
      <w:r>
        <w:t xml:space="preserve"> </w:t>
      </w:r>
      <w:r>
        <w:t xml:space="preserve">del código no sustituyen esa revisión independiente.</w:t>
      </w:r>
    </w:p>
    <w:bookmarkEnd w:id="20"/>
    <w:bookmarkStart w:id="21" w:name="conclusión-limitada"/>
    <w:p>
      <w:pPr>
        <w:pStyle w:val="Heading2"/>
      </w:pPr>
      <w:r>
        <w:t xml:space="preserve">6. Conclusión limitada</w:t>
      </w:r>
    </w:p>
    <w:p>
      <w:pPr>
        <w:pStyle w:val="FirstParagraph"/>
      </w:pPr>
      <w:r>
        <w:t xml:space="preserve">La evidencia ejecutada sustenta que las capacidades enumeradas con estado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son deterministas y coinciden, dentro de tolerancias explícitas, con los valores esperados del conjunto de</w:t>
      </w:r>
      <w:r>
        <w:t xml:space="preserve"> </w:t>
      </w:r>
      <w:r>
        <w:t xml:space="preserve">prueba. E09 queda apto para revisión técnica, con un riesgo abierto que impide</w:t>
      </w:r>
      <w:r>
        <w:t xml:space="preserve"> </w:t>
      </w:r>
      <w:r>
        <w:t xml:space="preserve">afirmar validación completa del criterio expandido. La aprobación normativa y</w:t>
      </w:r>
      <w:r>
        <w:t xml:space="preserve"> </w:t>
      </w:r>
      <w:r>
        <w:t xml:space="preserve">contractual permanece pendiente y debe resolverse en la auditoría de Fase 7.</w:t>
      </w:r>
    </w:p>
    <w:bookmarkEnd w:id="21"/>
    <w:bookmarkStart w:id="22" w:name="reproducción"/>
    <w:p>
      <w:pPr>
        <w:pStyle w:val="Heading2"/>
      </w:pPr>
      <w:r>
        <w:t xml:space="preserve">Reproducción</w:t>
      </w:r>
    </w:p>
    <w:p>
      <w:pPr>
        <w:pStyle w:val="FirstParagraph"/>
      </w:pPr>
      <w:r>
        <w:t xml:space="preserve">Desde la raíz del proyecto:</w:t>
      </w:r>
    </w:p>
    <w:p>
      <w:pPr>
        <w:pStyle w:val="SourceCode"/>
      </w:pPr>
      <w:r>
        <w:rPr>
          <w:rStyle w:val="ExtensionTok"/>
        </w:rPr>
        <w:t xml:space="preserve">scripts/documentacion/generar_entregables_fase_6.sh</w:t>
      </w:r>
      <w:r>
        <w:br/>
      </w:r>
      <w:r>
        <w:rPr>
          <w:rStyle w:val="ExtensionTok"/>
        </w:rPr>
        <w:t xml:space="preserve">Rscript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'testthat::test_file("tests/testthat/test-entregables-fase-6.R")'</w:t>
      </w:r>
    </w:p>
    <w:bookmarkEnd w:id="22"/>
    <w:bookmarkStart w:id="23" w:name="historial-de-cambios"/>
    <w:p>
      <w:pPr>
        <w:pStyle w:val="Heading2"/>
      </w:pPr>
      <w:r>
        <w:t xml:space="preserve">Historial de cambios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Cambio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2026-01-24</w:t>
            </w:r>
          </w:p>
        </w:tc>
        <w:tc>
          <w:tcPr/>
          <w:p>
            <w:pPr>
              <w:pStyle w:val="Compact"/>
            </w:pPr>
            <w:r>
              <w:t xml:space="preserve">Informe inicial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2026-03-13</w:t>
            </w:r>
          </w:p>
        </w:tc>
        <w:tc>
          <w:tcPr/>
          <w:p>
            <w:pPr>
              <w:pStyle w:val="Compact"/>
            </w:pPr>
            <w:r>
              <w:t xml:space="preserve">Revisión histórica y Algoritmo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2026-07-14</w:t>
            </w:r>
          </w:p>
        </w:tc>
        <w:tc>
          <w:tcPr/>
          <w:p>
            <w:pPr>
              <w:pStyle w:val="Compact"/>
            </w:pPr>
            <w:r>
              <w:t xml:space="preserve">Alcance limitado, evidencia reejecutada, matriz y riesgos explícitos</w:t>
            </w:r>
          </w:p>
        </w:tc>
      </w:tr>
    </w:tbl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CO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final de validación del aplicativo PT</dc:title>
  <dc:creator/>
  <cp:keywords/>
  <dcterms:created xsi:type="dcterms:W3CDTF">2026-07-14T19:46:40Z</dcterms:created>
  <dcterms:modified xsi:type="dcterms:W3CDTF">2026-07-14T19:46:40Z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2026-07-14</vt:lpwstr>
  </property>
  <property fmtid="{D5CDD505-2E9C-101B-9397-08002B2CF9AE}" pid="3" name="document_id">
    <vt:lpwstr>DOC-E09-AUD-01</vt:lpwstr>
  </property>
  <property fmtid="{D5CDD505-2E9C-101B-9397-08002B2CF9AE}" pid="4" name="owner">
    <vt:lpwstr>UNAL / INM</vt:lpwstr>
  </property>
  <property fmtid="{D5CDD505-2E9C-101B-9397-08002B2CF9AE}" pid="5" name="status">
    <vt:lpwstr>Vigente verificado; aprobación contractual pendiente</vt:lpwstr>
  </property>
  <property fmtid="{D5CDD505-2E9C-101B-9397-08002B2CF9AE}" pid="6" name="version">
    <vt:lpwstr>3.0</vt:lpwstr>
  </property>
</Properties>
</file>