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5fddcfc89b49abe0b96f423948d464246d5f84"/>
    <w:p>
      <w:pPr>
        <w:pStyle w:val="Heading1"/>
      </w:pPr>
      <w:r>
        <w:t xml:space="preserve">Guía de Inicio Rápido: Aplicativo de Análisis de Datos de Ensayos de Aptitud (PT)</w:t>
      </w:r>
    </w:p>
    <w:p>
      <w:pPr>
        <w:pStyle w:val="FirstParagraph"/>
      </w:pPr>
      <w:r>
        <w:t xml:space="preserve">Esta guía le permitirá poner en marcha el Aplicativo de Ensayos de Aptitud en menos de 5 minutos. Esta aplicación implementa un conjunto completo de herramientas para el análisis de PT para gases contaminantes criterio (CO, SO2, NO, NO2, O3) siguiendo los estándares</w:t>
      </w:r>
      <w:r>
        <w:t xml:space="preserve"> </w:t>
      </w:r>
      <w:r>
        <w:rPr>
          <w:b/>
          <w:bCs/>
        </w:rPr>
        <w:t xml:space="preserve">ISO 17043:2024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ISO 13528:2022</w:t>
      </w:r>
      <w:r>
        <w:t xml:space="preserve">.</w:t>
      </w:r>
    </w:p>
    <w:p>
      <w:pPr>
        <w:pStyle w:val="BodyText"/>
      </w:pPr>
      <w:r>
        <w:t xml:space="preserve">Desarrollado por el Laboratorio CALAIRE (Universidad Nacional de Colombia) en asociación con el Instituto Nacional de Metrología (INM).</w:t>
      </w:r>
    </w:p>
    <w:p>
      <w:r>
        <w:pict>
          <v:rect style="width:0;height:1.5pt" o:hralign="center" o:hrstd="t" o:hr="t"/>
        </w:pict>
      </w:r>
    </w:p>
    <w:bookmarkStart w:id="9" w:name="requisitos-del-sistema"/>
    <w:p>
      <w:pPr>
        <w:pStyle w:val="Heading2"/>
      </w:pPr>
      <w:r>
        <w:t xml:space="preserve">1. Requisitos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3131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4.4.0 o posterior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RStudio</w:t>
            </w:r>
          </w:p>
        </w:tc>
        <w:tc>
          <w:tcPr/>
          <w:p>
            <w:pPr>
              <w:pStyle w:val="Compact"/>
            </w:pPr>
            <w:r>
              <w:t xml:space="preserve">2023.06</w:t>
            </w:r>
          </w:p>
        </w:tc>
        <w:tc>
          <w:tcPr/>
          <w:p>
            <w:pPr>
              <w:pStyle w:val="Compact"/>
            </w:pPr>
            <w:r>
              <w:t xml:space="preserve">2024.04 o posterior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Windows 10+, macOS 11+, Linux</w:t>
            </w:r>
          </w:p>
        </w:tc>
        <w:tc>
          <w:tcPr/>
          <w:p>
            <w:pPr>
              <w:pStyle w:val="Compact"/>
            </w:pPr>
            <w:r>
              <w:t xml:space="preserve">Cualquier SO moderno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Navegador Web</w:t>
            </w:r>
          </w:p>
        </w:tc>
        <w:tc>
          <w:tcPr/>
          <w:p>
            <w:pPr>
              <w:pStyle w:val="Compact"/>
            </w:pPr>
            <w:r>
              <w:t xml:space="preserve">Navegador moderno (Chrome, Firefox, Edge, Safari)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instalación"/>
    <w:p>
      <w:pPr>
        <w:pStyle w:val="Heading2"/>
      </w:pPr>
      <w:r>
        <w:t xml:space="preserve">2. Instalación</w:t>
      </w:r>
    </w:p>
    <w:bookmarkStart w:id="10" w:name="X91a0fdfd3dc5893bf24d471bc0de46982c3fca0"/>
    <w:p>
      <w:pPr>
        <w:pStyle w:val="Heading3"/>
      </w:pPr>
      <w:r>
        <w:t xml:space="preserve">Paso 1: Instalar los Paquetes de R Requeridos</w:t>
      </w:r>
    </w:p>
    <w:p>
      <w:pPr>
        <w:pStyle w:val="FirstParagraph"/>
      </w:pPr>
      <w:r>
        <w:t xml:space="preserve">Abra R o RStudio y ejecute el siguiente comando para instalar todas las dependencias necesarias: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"rhandsontable"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"rmarkdown"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"shinythemes"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"bsplus"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"stats"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Referencia de Propósito de los Paquetes: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r>
              <w:t xml:space="preserve">Framework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bslib</w:t>
            </w:r>
          </w:p>
        </w:tc>
        <w:tc>
          <w:tcPr/>
          <w:p>
            <w:pPr>
              <w:pStyle w:val="Compact"/>
            </w:pPr>
            <w:r>
              <w:t xml:space="preserve">Temas Bootstrap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tidyverse</w:t>
            </w:r>
          </w:p>
        </w:tc>
        <w:tc>
          <w:tcPr/>
          <w:p>
            <w:pPr>
              <w:pStyle w:val="Compact"/>
            </w:pPr>
            <w:r>
              <w:t xml:space="preserve">Manipulación de datos (dplyr, ggplot2,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vroom</w:t>
            </w:r>
          </w:p>
        </w:tc>
        <w:tc>
          <w:tcPr/>
          <w:p>
            <w:pPr>
              <w:pStyle w:val="Compact"/>
            </w:pPr>
            <w:r>
              <w:t xml:space="preserve">Lectura rápida de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Tablas interactivas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rhandsontable</w:t>
            </w:r>
          </w:p>
        </w:tc>
        <w:tc>
          <w:tcPr/>
          <w:p>
            <w:pPr>
              <w:pStyle w:val="Compact"/>
            </w:pPr>
            <w:r>
              <w:t xml:space="preserve">Tablas editables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</w:t>
            </w:r>
          </w:p>
        </w:tc>
        <w:tc>
          <w:tcPr/>
          <w:p>
            <w:pPr>
              <w:pStyle w:val="Compact"/>
            </w:pPr>
            <w:r>
              <w:t xml:space="preserve">Gráficos interactivos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ggplot2</w:t>
            </w:r>
          </w:p>
        </w:tc>
        <w:tc>
          <w:tcPr/>
          <w:p>
            <w:pPr>
              <w:pStyle w:val="Compact"/>
            </w:pPr>
            <w:r>
              <w:t xml:space="preserve">Gráficos estáticos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patchwork</w:t>
            </w:r>
          </w:p>
        </w:tc>
        <w:tc>
          <w:tcPr/>
          <w:p>
            <w:pPr>
              <w:pStyle w:val="Compact"/>
            </w:pPr>
            <w:r>
              <w:t xml:space="preserve">Composición de gráficos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Prueba de Grubbs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rmarkdown</w:t>
            </w:r>
          </w:p>
        </w:tc>
        <w:tc>
          <w:tcPr/>
          <w:p>
            <w:pPr>
              <w:pStyle w:val="Compact"/>
            </w:pPr>
            <w:r>
              <w:t xml:space="preserve">Generación de informes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devtools</w:t>
            </w:r>
          </w:p>
        </w:tc>
        <w:tc>
          <w:tcPr/>
          <w:p>
            <w:pPr>
              <w:pStyle w:val="Compact"/>
            </w:pPr>
            <w:r>
              <w:t xml:space="preserve">Desarrollo de paquetes</w:t>
            </w:r>
          </w:p>
        </w:tc>
      </w:tr>
    </w:tbl>
    <w:bookmarkEnd w:id="10"/>
    <w:bookmarkStart w:id="11" w:name="paso-2-instalar-el-paquete-ptcalc"/>
    <w:p>
      <w:pPr>
        <w:pStyle w:val="Heading3"/>
      </w:pPr>
      <w:r>
        <w:t xml:space="preserve">Paso 2: Instalar el Paquete ptcalc</w:t>
      </w:r>
    </w:p>
    <w:p>
      <w:pPr>
        <w:pStyle w:val="FirstParagraph"/>
      </w:pPr>
      <w:r>
        <w:t xml:space="preserve">La aplicación depende del paquete local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para los cálculos de las normas ISO 13528/17043.</w:t>
      </w:r>
    </w:p>
    <w:p>
      <w:pPr>
        <w:pStyle w:val="BodyText"/>
      </w:pPr>
      <w:r>
        <w:rPr>
          <w:b/>
          <w:bCs/>
        </w:rPr>
        <w:t xml:space="preserve">Para desarrollo/carga:</w:t>
      </w:r>
    </w:p>
    <w:p>
      <w:pPr>
        <w:pStyle w:val="SourceCode"/>
      </w:pPr>
      <w:r>
        <w:rPr>
          <w:rStyle w:val="CommentTok"/>
        </w:rPr>
        <w:t xml:space="preserve"># Ejecute esto desde el directorio raíz del proyecto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 instalación en producción:</w:t>
      </w:r>
    </w:p>
    <w:p>
      <w:pPr>
        <w:pStyle w:val="SourceCode"/>
      </w:pPr>
      <w:r>
        <w:rPr>
          <w:rStyle w:val="CommentTok"/>
        </w:rPr>
        <w:t xml:space="preserve"># Ejecute esto desde el directorio raíz del proyecto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iniciar-la-aplicación"/>
    <w:p>
      <w:pPr>
        <w:pStyle w:val="Heading2"/>
      </w:pPr>
      <w:r>
        <w:t xml:space="preserve">3. Iniciar la Aplicación</w:t>
      </w:r>
    </w:p>
    <w:bookmarkStart w:id="13" w:name="Xa8cbc146a94837a367739203ab4e00d7312c6bb"/>
    <w:p>
      <w:pPr>
        <w:pStyle w:val="Heading3"/>
      </w:pPr>
      <w:r>
        <w:t xml:space="preserve">Método A: Desde la Consola de R/RStudio (Recomendado)</w:t>
      </w:r>
    </w:p>
    <w:p>
      <w:pPr>
        <w:pStyle w:val="Compact"/>
        <w:numPr>
          <w:ilvl w:val="0"/>
          <w:numId w:val="1001"/>
        </w:numPr>
      </w:pPr>
      <w:r>
        <w:t xml:space="preserve">Establezca su directorio de trabajo en la raíz del proyecto.</w:t>
      </w:r>
    </w:p>
    <w:p>
      <w:pPr>
        <w:pStyle w:val="Compact"/>
        <w:numPr>
          <w:ilvl w:val="0"/>
          <w:numId w:val="1001"/>
        </w:numPr>
      </w:pPr>
      <w:r>
        <w:t xml:space="preserve">Ejecute el archivo de la aplicación.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"/ruta/a/pt_app"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"app.R"</w:t>
      </w:r>
      <w:r>
        <w:rPr>
          <w:rStyle w:val="NormalTok"/>
        </w:rPr>
        <w:t xml:space="preserve">)</w:t>
      </w:r>
    </w:p>
    <w:bookmarkEnd w:id="13"/>
    <w:bookmarkStart w:id="14" w:name="método-b-línea-de-comandos"/>
    <w:p>
      <w:pPr>
        <w:pStyle w:val="Heading3"/>
      </w:pPr>
      <w:r>
        <w:t xml:space="preserve">Método B: Línea de Comandos</w:t>
      </w:r>
    </w:p>
    <w:p>
      <w:pPr>
        <w:pStyle w:val="SourceCode"/>
      </w:pPr>
      <w:r>
        <w:rPr>
          <w:rStyle w:val="CommentTok"/>
        </w:rPr>
        <w:t xml:space="preserve"># Opción 1: Usando Rscript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app.R</w:t>
      </w:r>
      <w:r>
        <w:br/>
      </w:r>
      <w:r>
        <w:br/>
      </w:r>
      <w:r>
        <w:rPr>
          <w:rStyle w:val="CommentTok"/>
        </w:rPr>
        <w:t xml:space="preserve"># Opción 2: Usando la ejecución de 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"shiny::runApp('app.R')"</w:t>
      </w:r>
    </w:p>
    <w:p>
      <w:pPr>
        <w:pStyle w:val="FirstParagraph"/>
      </w:pPr>
      <w:r>
        <w:rPr>
          <w:i/>
          <w:iCs/>
        </w:rPr>
        <w:t xml:space="preserve">Nota: La aplicación será accesible típicamente en su navegador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http://127.0.0.1:3838</w:t>
      </w:r>
      <w:r>
        <w:rPr>
          <w:i/>
          <w:iCs/>
        </w:rPr>
        <w:t xml:space="preserve"> </w:t>
      </w:r>
      <w:r>
        <w:rPr>
          <w:i/>
          <w:iCs/>
        </w:rPr>
        <w:t xml:space="preserve">o en el puerto que se muestre en la consola.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flujo-de-trabajo-de-la-aplicación"/>
    <w:p>
      <w:pPr>
        <w:pStyle w:val="Heading2"/>
      </w:pPr>
      <w:r>
        <w:t xml:space="preserve">4. Flujo de Trabajo de la Aplicación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A[Cargar Archivos de Datos] --&gt; B{¿Datos Válidos?}</w:t>
      </w:r>
      <w:r>
        <w:br/>
      </w:r>
      <w:r>
        <w:rPr>
          <w:rStyle w:val="VerbatimChar"/>
        </w:rPr>
        <w:t xml:space="preserve">    B --&gt;|No| C[Mensaje de Error]</w:t>
      </w:r>
      <w:r>
        <w:br/>
      </w:r>
      <w:r>
        <w:rPr>
          <w:rStyle w:val="VerbatimChar"/>
        </w:rPr>
        <w:t xml:space="preserve">    B --&gt;|Yes| D[Análisis de Homogeneidad]</w:t>
      </w:r>
      <w:r>
        <w:br/>
      </w:r>
      <w:r>
        <w:rPr>
          <w:rStyle w:val="VerbatimChar"/>
        </w:rPr>
        <w:t xml:space="preserve">    D --&gt; E[Análisis de Estabilidad]</w:t>
      </w:r>
      <w:r>
        <w:br/>
      </w:r>
      <w:r>
        <w:rPr>
          <w:rStyle w:val="VerbatimChar"/>
        </w:rPr>
        <w:t xml:space="preserve">    E --&gt; F[Calcular Valor Asignado]</w:t>
      </w:r>
      <w:r>
        <w:br/>
      </w:r>
      <w:r>
        <w:rPr>
          <w:rStyle w:val="VerbatimChar"/>
        </w:rPr>
        <w:t xml:space="preserve">    F --&gt; G[Calcular Puntajes]</w:t>
      </w:r>
      <w:r>
        <w:br/>
      </w:r>
      <w:r>
        <w:rPr>
          <w:rStyle w:val="VerbatimChar"/>
        </w:rPr>
        <w:t xml:space="preserve">    G --&gt; H[Generar Informes]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Análisis</w:t>
      </w:r>
      <w:r>
        <w:br/>
      </w:r>
      <w:r>
        <w:rPr>
          <w:rStyle w:val="VerbatimChar"/>
        </w:rPr>
        <w:t xml:space="preserve">        D</w:t>
      </w:r>
      <w:r>
        <w:br/>
      </w:r>
      <w:r>
        <w:rPr>
          <w:rStyle w:val="VerbatimChar"/>
        </w:rPr>
        <w:t xml:space="preserve">        E</w:t>
      </w:r>
      <w:r>
        <w:br/>
      </w:r>
      <w:r>
        <w:rPr>
          <w:rStyle w:val="VerbatimChar"/>
        </w:rPr>
        <w:t xml:space="preserve">        F</w:t>
      </w:r>
      <w:r>
        <w:br/>
      </w:r>
      <w:r>
        <w:rPr>
          <w:rStyle w:val="VerbatimChar"/>
        </w:rPr>
        <w:t xml:space="preserve">        G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6"/>
    <w:bookmarkStart w:id="26" w:name="su-primer-análisis-en-5-minutos"/>
    <w:p>
      <w:pPr>
        <w:pStyle w:val="Heading2"/>
      </w:pPr>
      <w:r>
        <w:t xml:space="preserve">5. Su Primer Análisis en 5 Minutos</w:t>
      </w:r>
    </w:p>
    <w:bookmarkStart w:id="20" w:name="paso-1-prepare-sus-archivos-de-datos"/>
    <w:p>
      <w:pPr>
        <w:pStyle w:val="Heading3"/>
      </w:pPr>
      <w:r>
        <w:t xml:space="preserve">Paso 1: Prepare sus Archivos de Datos</w:t>
      </w:r>
    </w:p>
    <w:p>
      <w:pPr>
        <w:pStyle w:val="FirstParagraph"/>
      </w:pPr>
      <w:r>
        <w:t xml:space="preserve">La aplicación requiere formatos CSV específicos. Se incluyen archivos de datos de ejemplo en la carpeta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homogeneity.csv</w:t>
      </w:r>
      <w:r>
        <w:t xml:space="preserve">: Datos de la prueba de homogeneidad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stability.csv</w:t>
      </w:r>
      <w:r>
        <w:t xml:space="preserve">: Datos de la prueba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summary_n4.csv</w:t>
      </w:r>
      <w:r>
        <w:t xml:space="preserve">: Escenario con 4 participantes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participants_data4.csv</w:t>
      </w:r>
      <w:r>
        <w:t xml:space="preserve">: Datos de instrumentación</w:t>
      </w:r>
    </w:p>
    <w:bookmarkStart w:id="17" w:name="datos-de-homogeneidad-y-estabilidad"/>
    <w:p>
      <w:pPr>
        <w:pStyle w:val="Heading4"/>
      </w:pPr>
      <w:r>
        <w:t xml:space="preserve">1. Datos de Homogeneidad y Estabilidad</w:t>
      </w:r>
    </w:p>
    <w:p>
      <w:pPr>
        <w:pStyle w:val="SourceCode"/>
      </w:pPr>
      <w:r>
        <w:rPr>
          <w:rStyle w:val="VerbatimChar"/>
        </w:rPr>
        <w:t xml:space="preserve">"pollutant","level","replicate","sample_id","value"</w:t>
      </w:r>
      <w:r>
        <w:br/>
      </w:r>
      <w:r>
        <w:rPr>
          <w:rStyle w:val="VerbatimChar"/>
        </w:rPr>
        <w:t xml:space="preserve">"co","0-umol/mol",1,1,0.00670</w:t>
      </w:r>
      <w:r>
        <w:br/>
      </w:r>
      <w:r>
        <w:rPr>
          <w:rStyle w:val="VerbatimChar"/>
        </w:rPr>
        <w:t xml:space="preserve">"co","0-umol/mol",1,2,0.00479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Identificador del gas (ej.,</w:t>
            </w:r>
            <w:r>
              <w:t xml:space="preserve"> </w:t>
            </w:r>
            <w:r>
              <w:t xml:space="preserve">“co”</w:t>
            </w:r>
            <w:r>
              <w:t xml:space="preserve">,</w:t>
            </w:r>
            <w:r>
              <w:t xml:space="preserve"> </w:t>
            </w:r>
            <w:r>
              <w:t xml:space="preserve">“so2”</w:t>
            </w:r>
            <w:r>
              <w:t xml:space="preserve">,</w:t>
            </w:r>
            <w:r>
              <w:t xml:space="preserve"> </w:t>
            </w:r>
            <w:r>
              <w:t xml:space="preserve">“no”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Nivel de concentración (ej.,</w:t>
            </w:r>
            <w:r>
              <w:t xml:space="preserve"> </w:t>
            </w:r>
            <w:r>
              <w:t xml:space="preserve">“0-umol/mol”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t xml:space="preserve">Número de réplica (1, 2,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t xml:space="preserve">Identificador de la muestra/ítem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Concentración medida</w:t>
            </w:r>
          </w:p>
        </w:tc>
      </w:tr>
    </w:tbl>
    <w:bookmarkEnd w:id="17"/>
    <w:bookmarkStart w:id="18" w:name="X292f71760696fe4d6fc3843aebef63f28d0310d"/>
    <w:p>
      <w:pPr>
        <w:pStyle w:val="Heading4"/>
      </w:pPr>
      <w:r>
        <w:t xml:space="preserve">2. Archivos Resumen de Participantes (</w:t>
      </w:r>
      <w:r>
        <w:rPr>
          <w:rStyle w:val="VerbatimChar"/>
        </w:rPr>
        <w:t xml:space="preserve">summary_n*.csv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"pollutant","level","participant_id","replicate","sample_group","mean_value","sd_value"</w:t>
      </w:r>
      <w:r>
        <w:br/>
      </w:r>
      <w:r>
        <w:rPr>
          <w:rStyle w:val="VerbatimChar"/>
        </w:rPr>
        <w:t xml:space="preserve">"co","0-umol/mol","part_1",2,"1-10",-0.0271,0.0278</w:t>
      </w:r>
    </w:p>
    <w:bookmarkEnd w:id="18"/>
    <w:bookmarkStart w:id="19" w:name="X9f62bd75a7cc154ae560e1f3918cc116a541806"/>
    <w:p>
      <w:pPr>
        <w:pStyle w:val="Heading4"/>
      </w:pPr>
      <w:r>
        <w:t xml:space="preserve">3. Instrumentación de Participantes (</w:t>
      </w:r>
      <w:r>
        <w:rPr>
          <w:rStyle w:val="VerbatimChar"/>
        </w:rPr>
        <w:t xml:space="preserve">participants_data.csv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Codigo_Lab,Analizador_SO2,Analizador_CO,Analizador_O3,Analizador_NO_NO2</w:t>
      </w:r>
      <w:r>
        <w:br/>
      </w:r>
      <w:r>
        <w:rPr>
          <w:rStyle w:val="VerbatimChar"/>
        </w:rPr>
        <w:t xml:space="preserve">REFERENCIA,HORIBA APSA-370,Teledyne T300,Thermo 49i,HORIBA APSA-370</w:t>
      </w:r>
    </w:p>
    <w:bookmarkEnd w:id="19"/>
    <w:bookmarkEnd w:id="20"/>
    <w:bookmarkStart w:id="21" w:name="paso-2-cargar-archivos-de-datos"/>
    <w:p>
      <w:pPr>
        <w:pStyle w:val="Heading3"/>
      </w:pPr>
      <w:r>
        <w:t xml:space="preserve">Paso 2: Cargar Archivos de Datos</w:t>
      </w:r>
    </w:p>
    <w:p>
      <w:pPr>
        <w:pStyle w:val="Compact"/>
        <w:numPr>
          <w:ilvl w:val="0"/>
          <w:numId w:val="1003"/>
        </w:numPr>
      </w:pPr>
      <w:r>
        <w:t xml:space="preserve">Navegue a la pestaña</w:t>
      </w:r>
      <w:r>
        <w:t xml:space="preserve"> </w:t>
      </w:r>
      <w:r>
        <w:rPr>
          <w:b/>
          <w:bCs/>
        </w:rPr>
        <w:t xml:space="preserve">“Carga de datos”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para subir sus archivos desde la carpeta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Verifique que la aplicación muestre</w:t>
      </w:r>
      <w:r>
        <w:t xml:space="preserve"> </w:t>
      </w:r>
      <w:r>
        <w:t xml:space="preserve">“File uploaded successfully”</w:t>
      </w:r>
      <w:r>
        <w:t xml:space="preserve"> </w:t>
      </w:r>
      <w:r>
        <w:t xml:space="preserve">en verde.</w:t>
      </w:r>
    </w:p>
    <w:bookmarkEnd w:id="21"/>
    <w:bookmarkStart w:id="22" w:name="X3544f158bc84c7d680ec2e0c6be796978f05a45"/>
    <w:p>
      <w:pPr>
        <w:pStyle w:val="Heading3"/>
      </w:pPr>
      <w:r>
        <w:t xml:space="preserve">Paso 3: Ejecutar Análisis de Homogeneidad y Estabilidad</w:t>
      </w:r>
    </w:p>
    <w:p>
      <w:pPr>
        <w:pStyle w:val="Compact"/>
        <w:numPr>
          <w:ilvl w:val="0"/>
          <w:numId w:val="1004"/>
        </w:numPr>
      </w:pPr>
      <w:r>
        <w:t xml:space="preserve">Vaya a la pestaña</w:t>
      </w:r>
      <w:r>
        <w:t xml:space="preserve"> </w:t>
      </w:r>
      <w:r>
        <w:rPr>
          <w:b/>
          <w:bCs/>
        </w:rPr>
        <w:t xml:space="preserve">“Homogeneidad”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Seleccione el</w:t>
      </w:r>
      <w:r>
        <w:t xml:space="preserve"> </w:t>
      </w:r>
      <w:r>
        <w:rPr>
          <w:b/>
          <w:bCs/>
        </w:rPr>
        <w:t xml:space="preserve">Contaminante</w:t>
      </w:r>
      <w:r>
        <w:t xml:space="preserve"> </w:t>
      </w:r>
      <w:r>
        <w:t xml:space="preserve">(ej.,</w:t>
      </w:r>
      <w:r>
        <w:t xml:space="preserve"> </w:t>
      </w:r>
      <w:r>
        <w:rPr>
          <w:rStyle w:val="VerbatimChar"/>
        </w:rPr>
        <w:t xml:space="preserve">SO2</w:t>
      </w:r>
      <w:r>
        <w:t xml:space="preserve">) y el</w:t>
      </w:r>
      <w:r>
        <w:t xml:space="preserve"> </w:t>
      </w:r>
      <w:r>
        <w:rPr>
          <w:b/>
          <w:bCs/>
        </w:rPr>
        <w:t xml:space="preserve">Nivel</w:t>
      </w:r>
      <w:r>
        <w:t xml:space="preserve"> </w:t>
      </w:r>
      <w:r>
        <w:t xml:space="preserve">(ej.,</w:t>
      </w:r>
      <w:r>
        <w:t xml:space="preserve"> </w:t>
      </w:r>
      <w:r>
        <w:rPr>
          <w:rStyle w:val="VerbatimChar"/>
        </w:rPr>
        <w:t xml:space="preserve">low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“Ejecutar análisis”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Revise la tabla ANOVA y el cuadro de conclusión (PASA/FALLA basado en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0.3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Use la pestaña</w:t>
      </w:r>
      <w:r>
        <w:t xml:space="preserve"> </w:t>
      </w:r>
      <w:r>
        <w:rPr>
          <w:b/>
          <w:bCs/>
        </w:rPr>
        <w:t xml:space="preserve">“Estabilidad”</w:t>
      </w:r>
      <w:r>
        <w:t xml:space="preserve"> </w:t>
      </w:r>
      <w:r>
        <w:t xml:space="preserve">para comparar los resultados de homogeneidad frente a estabilidad.</w:t>
      </w:r>
    </w:p>
    <w:bookmarkEnd w:id="22"/>
    <w:bookmarkStart w:id="23" w:name="paso-4-calcular-el-valor-asignado"/>
    <w:p>
      <w:pPr>
        <w:pStyle w:val="Heading3"/>
      </w:pPr>
      <w:r>
        <w:t xml:space="preserve">Paso 4: Calcular el Valor Asignado</w:t>
      </w:r>
    </w:p>
    <w:p>
      <w:pPr>
        <w:pStyle w:val="Compact"/>
        <w:numPr>
          <w:ilvl w:val="0"/>
          <w:numId w:val="1005"/>
        </w:numPr>
      </w:pPr>
      <w:r>
        <w:t xml:space="preserve">Navegue a la pestaña</w:t>
      </w:r>
      <w:r>
        <w:t xml:space="preserve"> </w:t>
      </w:r>
      <w:r>
        <w:rPr>
          <w:b/>
          <w:bCs/>
        </w:rPr>
        <w:t xml:space="preserve">“Valor Asignado”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Elija un método:</w:t>
      </w:r>
      <w:r>
        <w:t xml:space="preserve"> </w:t>
      </w:r>
      <w:r>
        <w:rPr>
          <w:b/>
          <w:bCs/>
        </w:rPr>
        <w:t xml:space="preserve">Algoritmo A</w:t>
      </w:r>
      <w:r>
        <w:t xml:space="preserve"> </w:t>
      </w:r>
      <w:r>
        <w:t xml:space="preserve">(Consenso robusto),</w:t>
      </w:r>
      <w:r>
        <w:t xml:space="preserve"> </w:t>
      </w:r>
      <w:r>
        <w:rPr>
          <w:b/>
          <w:bCs/>
        </w:rPr>
        <w:t xml:space="preserve">Valor de referencia</w:t>
      </w:r>
      <w:r>
        <w:t xml:space="preserve">, o</w:t>
      </w:r>
      <w:r>
        <w:t xml:space="preserve"> </w:t>
      </w:r>
      <w:r>
        <w:rPr>
          <w:b/>
          <w:bCs/>
        </w:rPr>
        <w:t xml:space="preserve">Consenso</w:t>
      </w:r>
      <w:r>
        <w:t xml:space="preserve"> </w:t>
      </w:r>
      <w:r>
        <w:t xml:space="preserve">(Mediana).</w:t>
      </w:r>
    </w:p>
    <w:p>
      <w:pPr>
        <w:pStyle w:val="Compact"/>
        <w:numPr>
          <w:ilvl w:val="0"/>
          <w:numId w:val="1005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“Calcular Valor Asignado”</w:t>
      </w:r>
      <w:r>
        <w:t xml:space="preserve">.</w:t>
      </w:r>
    </w:p>
    <w:bookmarkEnd w:id="23"/>
    <w:bookmarkStart w:id="24" w:name="paso-5-calcular-puntajes-de-desempeño"/>
    <w:p>
      <w:pPr>
        <w:pStyle w:val="Heading3"/>
      </w:pPr>
      <w:r>
        <w:t xml:space="preserve">Paso 5: Calcular Puntajes de Desempeño</w:t>
      </w:r>
    </w:p>
    <w:p>
      <w:pPr>
        <w:pStyle w:val="Compact"/>
        <w:numPr>
          <w:ilvl w:val="0"/>
          <w:numId w:val="1006"/>
        </w:numPr>
      </w:pPr>
      <w:r>
        <w:t xml:space="preserve">Vaya a la pestaña</w:t>
      </w:r>
      <w:r>
        <w:t xml:space="preserve"> </w:t>
      </w:r>
      <w:r>
        <w:rPr>
          <w:b/>
          <w:bCs/>
        </w:rPr>
        <w:t xml:space="preserve">“Puntajes PT”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Seleccione los tipos de puntaje:</w:t>
      </w:r>
      <w:r>
        <w:t xml:space="preserve"> </w:t>
      </w:r>
      <w:r>
        <w:rPr>
          <w:b/>
          <w:bCs/>
        </w:rPr>
        <w:t xml:space="preserve">z</w:t>
      </w:r>
      <w:r>
        <w:t xml:space="preserve">,</w:t>
      </w:r>
      <w:r>
        <w:t xml:space="preserve"> </w:t>
      </w:r>
      <w:r>
        <w:rPr>
          <w:b/>
          <w:bCs/>
        </w:rPr>
        <w:t xml:space="preserve">z’</w:t>
      </w:r>
      <w:r>
        <w:t xml:space="preserve">,</w:t>
      </w:r>
      <w:r>
        <w:t xml:space="preserve"> </w:t>
      </w:r>
      <w:r>
        <w:rPr>
          <w:b/>
          <w:bCs/>
        </w:rPr>
        <w:t xml:space="preserve">zeta (ζ)</w:t>
      </w:r>
      <w:r>
        <w:t xml:space="preserve">, o</w:t>
      </w:r>
      <w:r>
        <w:t xml:space="preserve"> </w:t>
      </w:r>
      <w:r>
        <w:rPr>
          <w:b/>
          <w:bCs/>
        </w:rPr>
        <w:t xml:space="preserve">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“Calcular puntajes”</w:t>
      </w:r>
      <w:r>
        <w:t xml:space="preserve"> </w:t>
      </w:r>
      <w:r>
        <w:t xml:space="preserve">para ver las métricas de desempeño de todos los laboratorios.</w:t>
      </w:r>
    </w:p>
    <w:bookmarkEnd w:id="24"/>
    <w:bookmarkStart w:id="25" w:name="paso-6-generar-informes"/>
    <w:p>
      <w:pPr>
        <w:pStyle w:val="Heading3"/>
      </w:pPr>
      <w:r>
        <w:t xml:space="preserve">Paso 6: Generar Informes</w:t>
      </w:r>
    </w:p>
    <w:p>
      <w:pPr>
        <w:pStyle w:val="Compact"/>
        <w:numPr>
          <w:ilvl w:val="0"/>
          <w:numId w:val="1007"/>
        </w:numPr>
      </w:pPr>
      <w:r>
        <w:t xml:space="preserve">Navegue a la pestaña</w:t>
      </w:r>
      <w:r>
        <w:t xml:space="preserve"> </w:t>
      </w:r>
      <w:r>
        <w:rPr>
          <w:b/>
          <w:bCs/>
        </w:rPr>
        <w:t xml:space="preserve">“Generación de Informes”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Complete los metadatos (ID del PT, fecha, coordinador).</w:t>
      </w:r>
    </w:p>
    <w:p>
      <w:pPr>
        <w:pStyle w:val="Compact"/>
        <w:numPr>
          <w:ilvl w:val="0"/>
          <w:numId w:val="1007"/>
        </w:numPr>
      </w:pPr>
      <w:r>
        <w:t xml:space="preserve">Seleccione el formato de salida (</w:t>
      </w:r>
      <w:r>
        <w:rPr>
          <w:b/>
          <w:bCs/>
        </w:rPr>
        <w:t xml:space="preserve">Word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HTML</w:t>
      </w:r>
      <w:r>
        <w:t xml:space="preserve">) y haga clic en</w:t>
      </w:r>
      <w:r>
        <w:t xml:space="preserve"> </w:t>
      </w:r>
      <w:r>
        <w:rPr>
          <w:b/>
          <w:bCs/>
        </w:rPr>
        <w:t xml:space="preserve">“Generar Informe”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olución-de-problemas"/>
    <w:p>
      <w:pPr>
        <w:pStyle w:val="Heading2"/>
      </w:pPr>
      <w:r>
        <w:t xml:space="preserve">6. Solución de Problemas</w:t>
      </w:r>
    </w:p>
    <w:bookmarkStart w:id="27" w:name="error-column-not-found"/>
    <w:p>
      <w:pPr>
        <w:pStyle w:val="Heading3"/>
      </w:pPr>
      <w:r>
        <w:t xml:space="preserve">Error</w:t>
      </w:r>
      <w:r>
        <w:t xml:space="preserve"> </w:t>
      </w:r>
      <w:r>
        <w:t xml:space="preserve">“Column not found”</w:t>
      </w:r>
    </w:p>
    <w:p>
      <w:pPr>
        <w:pStyle w:val="FirstParagraph"/>
      </w:pPr>
      <w:r>
        <w:t xml:space="preserve">Asegúrese de que sus archivos CSV contengan todas las columnas requeridas con los nombres exactos (sensible a mayúsculas y minúsculas).</w:t>
      </w:r>
    </w:p>
    <w:bookmarkEnd w:id="27"/>
    <w:bookmarkStart w:id="28" w:name="error-insufficient-data"/>
    <w:p>
      <w:pPr>
        <w:pStyle w:val="Heading3"/>
      </w:pPr>
      <w:r>
        <w:t xml:space="preserve">Error</w:t>
      </w:r>
      <w:r>
        <w:t xml:space="preserve"> </w:t>
      </w:r>
      <w:r>
        <w:t xml:space="preserve">“Insufficient data”</w:t>
      </w:r>
    </w:p>
    <w:p>
      <w:pPr>
        <w:pStyle w:val="Compact"/>
        <w:numPr>
          <w:ilvl w:val="0"/>
          <w:numId w:val="1008"/>
        </w:numPr>
      </w:pPr>
      <w:r>
        <w:t xml:space="preserve">La homogeneidad/estabilidad requiere al menos 2 ítems y 2 réplicas.</w:t>
      </w:r>
    </w:p>
    <w:p>
      <w:pPr>
        <w:pStyle w:val="Compact"/>
        <w:numPr>
          <w:ilvl w:val="0"/>
          <w:numId w:val="1008"/>
        </w:numPr>
      </w:pPr>
      <w:r>
        <w:t xml:space="preserve">El Algoritmo A requiere al menos 3 participantes.</w:t>
      </w:r>
    </w:p>
    <w:bookmarkEnd w:id="28"/>
    <w:bookmarkStart w:id="29" w:name="la-aplicación-no-inicia"/>
    <w:p>
      <w:pPr>
        <w:pStyle w:val="Heading3"/>
      </w:pPr>
      <w:r>
        <w:t xml:space="preserve">La Aplicación no Inicia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Verifique las dependencias: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required_packages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"rhandsontable"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"shinythemes"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"bsplus"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"rmarkdown"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(required_packages,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(missing)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Verifique el Directorio:</w:t>
      </w:r>
      <w:r>
        <w:t xml:space="preserve"> </w:t>
      </w:r>
      <w:r>
        <w:t xml:space="preserve">Asegúrese de estar en la raíz del proyecto donde se encuentra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</w:t>
      </w:r>
    </w:p>
    <w:bookmarkEnd w:id="29"/>
    <w:bookmarkStart w:id="30" w:name="paquete-ptcalc-no-encontrado"/>
    <w:p>
      <w:pPr>
        <w:pStyle w:val="Heading3"/>
      </w:pPr>
      <w:r>
        <w:t xml:space="preserve">Paquete ptcalc no Encontrado</w:t>
      </w:r>
    </w:p>
    <w:p>
      <w:pPr>
        <w:pStyle w:val="FirstParagraph"/>
      </w:pPr>
      <w:r>
        <w:t xml:space="preserve">Ejecute</w:t>
      </w:r>
      <w:r>
        <w:t xml:space="preserve"> </w:t>
      </w:r>
      <w:r>
        <w:rPr>
          <w:rStyle w:val="VerbatimChar"/>
        </w:rPr>
        <w:t xml:space="preserve">devtools::load_all("ptcalc")</w:t>
      </w:r>
      <w:r>
        <w:t xml:space="preserve"> </w:t>
      </w:r>
      <w:r>
        <w:t xml:space="preserve">desde la raíz del proyecto antes de ejecutar la aplicación.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róximos-pasos-y-soporte"/>
    <w:p>
      <w:pPr>
        <w:pStyle w:val="Heading2"/>
      </w:pPr>
      <w:r>
        <w:t xml:space="preserve">7. Próximos Pasos y Soporte</w:t>
      </w:r>
    </w:p>
    <w:p>
      <w:pPr>
        <w:pStyle w:val="Compact"/>
        <w:numPr>
          <w:ilvl w:val="0"/>
          <w:numId w:val="1010"/>
        </w:numPr>
      </w:pPr>
      <w:hyperlink r:id="rId32">
        <w:r>
          <w:rPr>
            <w:rStyle w:val="Hyperlink"/>
          </w:rPr>
          <w:t xml:space="preserve">Glosario de Términos</w:t>
        </w:r>
      </w:hyperlink>
      <w:r>
        <w:t xml:space="preserve"> </w:t>
      </w:r>
      <w:r>
        <w:t xml:space="preserve">- Referencia de terminología español/inglés</w:t>
      </w:r>
    </w:p>
    <w:p>
      <w:pPr>
        <w:pStyle w:val="Compact"/>
        <w:numPr>
          <w:ilvl w:val="0"/>
          <w:numId w:val="1010"/>
        </w:numPr>
      </w:pPr>
      <w:hyperlink r:id="rId33">
        <w:r>
          <w:rPr>
            <w:rStyle w:val="Hyperlink"/>
          </w:rPr>
          <w:t xml:space="preserve">Referencia de Formatos de Datos</w:t>
        </w:r>
      </w:hyperlink>
      <w:r>
        <w:t xml:space="preserve"> </w:t>
      </w:r>
      <w:r>
        <w:t xml:space="preserve">- Especificaciones completas de CSV</w:t>
      </w:r>
    </w:p>
    <w:p>
      <w:pPr>
        <w:pStyle w:val="Compact"/>
        <w:numPr>
          <w:ilvl w:val="0"/>
          <w:numId w:val="1010"/>
        </w:numPr>
      </w:pPr>
      <w:hyperlink r:id="rId34">
        <w:r>
          <w:rPr>
            <w:rStyle w:val="Hyperlink"/>
          </w:rPr>
          <w:t xml:space="preserve">API del Paquete</w:t>
        </w:r>
      </w:hyperlink>
      <w:r>
        <w:t xml:space="preserve"> </w:t>
      </w:r>
      <w:r>
        <w:t xml:space="preserve">- Referencia de funciones matemáticas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Soporte</w:t>
      </w:r>
      <w:r>
        <w:t xml:space="preserve">: Contacte al Laboratorio CALAIRE, Universidad Nacional de Colombia.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00_glosario.md" TargetMode="External" /><Relationship Type="http://schemas.openxmlformats.org/officeDocument/2006/relationships/hyperlink" Id="rId33" Target="01_carga_datos.md" TargetMode="External" /><Relationship Type="http://schemas.openxmlformats.org/officeDocument/2006/relationships/hyperlink" Id="rId34" Target="02_paquete_ptcal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00_glosario.md" TargetMode="External" /><Relationship Type="http://schemas.openxmlformats.org/officeDocument/2006/relationships/hyperlink" Id="rId33" Target="01_carga_datos.md" TargetMode="External" /><Relationship Type="http://schemas.openxmlformats.org/officeDocument/2006/relationships/hyperlink" Id="rId34" Target="02_paquete_ptcal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2026-01-29T03:50:27Z</dcterms:created>
  <dcterms:modified xsi:type="dcterms:W3CDTF">2026-01-29T03:50:27Z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