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aquete-ptcalc-documentación-completa"/>
    <w:p>
      <w:pPr>
        <w:pStyle w:val="Heading1"/>
      </w:pPr>
      <w:r>
        <w:t xml:space="preserve">Paquete ptcalc: Documentación Completa</w:t>
      </w:r>
    </w:p>
    <w:bookmarkStart w:id="9" w:name="información-del-paquete"/>
    <w:p>
      <w:pPr>
        <w:pStyle w:val="Heading2"/>
      </w:pPr>
      <w:r>
        <w:t xml:space="preserve">Información del Paquete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pt_app/ptcalc/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Estándares</w:t>
            </w:r>
          </w:p>
        </w:tc>
        <w:tc>
          <w:tcPr/>
          <w:p>
            <w:pPr>
              <w:pStyle w:val="Compact"/>
            </w:pPr>
            <w:r>
              <w:t xml:space="preserve">ISO 13528:2022, ISO 17043:2024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Wilson Rafael Salas Chavez (wrsalasc@unal.edu.co)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stats, dplyr (&gt;= 1.0.0)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rPr>
          <w:rStyle w:val="VerbatimChar"/>
        </w:rPr>
        <w:t xml:space="preserve">ptcalc</w:t>
      </w:r>
      <w:r>
        <w:t xml:space="preserve"> </w:t>
      </w:r>
      <w:r>
        <w:t xml:space="preserve">es un paquete de R que encapsula todas las</w:t>
      </w:r>
      <w:r>
        <w:t xml:space="preserve"> </w:t>
      </w:r>
      <w:r>
        <w:rPr>
          <w:b/>
          <w:bCs/>
        </w:rPr>
        <w:t xml:space="preserve">funciones matemáticas puras</w:t>
      </w:r>
      <w:r>
        <w:t xml:space="preserve"> </w:t>
      </w:r>
      <w:r>
        <w:t xml:space="preserve">para el cálculo de ensayos de aptitud según las normas</w:t>
      </w:r>
      <w:r>
        <w:t xml:space="preserve"> </w:t>
      </w:r>
      <w:r>
        <w:rPr>
          <w:b/>
          <w:bCs/>
        </w:rPr>
        <w:t xml:space="preserve">ISO 13528:2022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ISO 17043:2024</w:t>
      </w:r>
      <w:r>
        <w:t xml:space="preserve">. Está diseñado con</w:t>
      </w:r>
      <w:r>
        <w:t xml:space="preserve"> </w:t>
      </w:r>
      <w:r>
        <w:rPr>
          <w:b/>
          <w:bCs/>
        </w:rPr>
        <w:t xml:space="preserve">cero dependencias de Shiny</w:t>
      </w:r>
      <w:r>
        <w:t xml:space="preserve">, lo que lo hace ideal para:</w:t>
      </w:r>
    </w:p>
    <w:p>
      <w:pPr>
        <w:pStyle w:val="Compact"/>
        <w:numPr>
          <w:ilvl w:val="0"/>
          <w:numId w:val="1001"/>
        </w:numPr>
      </w:pPr>
      <w:r>
        <w:t xml:space="preserve">Uso independiente en scripts de R y procesamiento por lotes.</w:t>
      </w:r>
    </w:p>
    <w:p>
      <w:pPr>
        <w:pStyle w:val="Compact"/>
        <w:numPr>
          <w:ilvl w:val="0"/>
          <w:numId w:val="1001"/>
        </w:numPr>
      </w:pPr>
      <w:r>
        <w:t xml:space="preserve">Pruebas unitarias exhaustivas sin la sobrecarga de la interfaz de usuario.</w:t>
      </w:r>
    </w:p>
    <w:p>
      <w:pPr>
        <w:pStyle w:val="Compact"/>
        <w:numPr>
          <w:ilvl w:val="0"/>
          <w:numId w:val="1001"/>
        </w:numPr>
      </w:pPr>
      <w:r>
        <w:t xml:space="preserve">Integración vía API con sistemas externos.</w:t>
      </w:r>
    </w:p>
    <w:p>
      <w:pPr>
        <w:pStyle w:val="Compact"/>
        <w:numPr>
          <w:ilvl w:val="0"/>
          <w:numId w:val="1001"/>
        </w:numPr>
      </w:pPr>
      <w:r>
        <w:t xml:space="preserve">Flujos de trabajo automatizados de validación de datos.</w:t>
      </w:r>
    </w:p>
    <w:bookmarkStart w:id="10" w:name="características-clave"/>
    <w:p>
      <w:pPr>
        <w:pStyle w:val="Heading3"/>
      </w:pPr>
      <w:r>
        <w:t xml:space="preserve">Características Clave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Funciones puras</w:t>
      </w:r>
      <w:r>
        <w:t xml:space="preserve">: Sin efectos secundarios, solo transformaciones deterministas de datos.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Documentación Roxygen2</w:t>
      </w:r>
      <w:r>
        <w:t xml:space="preserve">: Cada función cuenta con ejemplos ejecutables y referencias a estándares.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Trazabilidad</w:t>
      </w:r>
      <w:r>
        <w:t xml:space="preserve">: Referencias explícitas a secciones específicas de la norma ISO 13528.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Robustez</w:t>
      </w:r>
      <w:r>
        <w:t xml:space="preserve">: Manejo consistente de valores atípicos, datos faltantes y varianza cero.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filosofía-de-diseño"/>
    <w:p>
      <w:pPr>
        <w:pStyle w:val="Heading2"/>
      </w:pPr>
      <w:r>
        <w:t xml:space="preserve">Filosofía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33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Separación de responsabilidades</w:t>
            </w:r>
          </w:p>
        </w:tc>
        <w:tc>
          <w:tcPr/>
          <w:p>
            <w:pPr>
              <w:pStyle w:val="Compact"/>
            </w:pPr>
            <w:r>
              <w:t xml:space="preserve">Lógica matemática completamente desacoplada de la UI (Shiny).</w:t>
            </w:r>
          </w:p>
        </w:tc>
        <w:tc>
          <w:tcPr/>
          <w:p>
            <w:pPr>
              <w:pStyle w:val="Compact"/>
            </w:pPr>
            <w:r>
              <w:t xml:space="preserve">Alta mantenibilidad y modularidad.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Funciones puras</w:t>
            </w:r>
          </w:p>
        </w:tc>
        <w:tc>
          <w:tcPr/>
          <w:p>
            <w:pPr>
              <w:pStyle w:val="Compact"/>
            </w:pPr>
            <w:r>
              <w:t xml:space="preserve">Salidas determinadas únicamente por los parámetros de entrada.</w:t>
            </w:r>
          </w:p>
        </w:tc>
        <w:tc>
          <w:tcPr/>
          <w:p>
            <w:pPr>
              <w:pStyle w:val="Compact"/>
            </w:pPr>
            <w:r>
              <w:t xml:space="preserve">Predecibilidad y facilidad de depuración.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Testabilidad</w:t>
            </w:r>
          </w:p>
        </w:tc>
        <w:tc>
          <w:tcPr/>
          <w:p>
            <w:pPr>
              <w:pStyle w:val="Compact"/>
            </w:pPr>
            <w:r>
              <w:t xml:space="preserve">Funciones independientes que facilitan las pruebas unitarias.</w:t>
            </w:r>
          </w:p>
        </w:tc>
        <w:tc>
          <w:tcPr/>
          <w:p>
            <w:pPr>
              <w:pStyle w:val="Compact"/>
            </w:pPr>
            <w:r>
              <w:t xml:space="preserve">Confiabilidad en los resultados matemáticos.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 técnica</w:t>
            </w:r>
          </w:p>
        </w:tc>
        <w:tc>
          <w:tcPr/>
          <w:p>
            <w:pPr>
              <w:pStyle w:val="Compact"/>
            </w:pPr>
            <w:r>
              <w:t xml:space="preserve">Uso de Roxygen2 con ejemplos y referencias ISO.</w:t>
            </w:r>
          </w:p>
        </w:tc>
        <w:tc>
          <w:tcPr/>
          <w:p>
            <w:pPr>
              <w:pStyle w:val="Compact"/>
            </w:pPr>
            <w:r>
              <w:t xml:space="preserve">Facilidad de uso para desarrolladores.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Cumplimiento de estándares</w:t>
            </w:r>
          </w:p>
        </w:tc>
        <w:tc>
          <w:tcPr/>
          <w:p>
            <w:pPr>
              <w:pStyle w:val="Compact"/>
            </w:pPr>
            <w:r>
              <w:t xml:space="preserve">Implementación estricta de fórmulas de ISO 13528.</w:t>
            </w:r>
          </w:p>
        </w:tc>
        <w:tc>
          <w:tcPr/>
          <w:p>
            <w:pPr>
              <w:pStyle w:val="Compact"/>
            </w:pPr>
            <w:r>
              <w:t xml:space="preserve">Validez técnica y legal de los cálculos.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structura-del-paquete"/>
    <w:p>
      <w:pPr>
        <w:pStyle w:val="Heading2"/>
      </w:pPr>
      <w:r>
        <w:t xml:space="preserve">Estructura del Paquete</w:t>
      </w:r>
    </w:p>
    <w:p>
      <w:pPr>
        <w:pStyle w:val="SourceCode"/>
      </w:pPr>
      <w:r>
        <w:rPr>
          <w:rStyle w:val="VerbatimChar"/>
        </w:rPr>
        <w:t xml:space="preserve">ptcalc/</w:t>
      </w:r>
      <w:r>
        <w:br/>
      </w:r>
      <w:r>
        <w:rPr>
          <w:rStyle w:val="VerbatimChar"/>
        </w:rPr>
        <w:t xml:space="preserve">├── DESCRIPTION              # Metadatos del paquete y dependencias</w:t>
      </w:r>
      <w:r>
        <w:br/>
      </w:r>
      <w:r>
        <w:rPr>
          <w:rStyle w:val="VerbatimChar"/>
        </w:rPr>
        <w:t xml:space="preserve">├── LICENSE                  # Licencia MIT</w:t>
      </w:r>
      <w:r>
        <w:br/>
      </w:r>
      <w:r>
        <w:rPr>
          <w:rStyle w:val="VerbatimChar"/>
        </w:rPr>
        <w:t xml:space="preserve">├── NAMESPACE                # Definición de 24 exportaciones (funciones y constantes)</w:t>
      </w:r>
      <w:r>
        <w:br/>
      </w:r>
      <w:r>
        <w:rPr>
          <w:rStyle w:val="VerbatimChar"/>
        </w:rPr>
        <w:t xml:space="preserve">├── README.md                # Referencia rápida y visión general</w:t>
      </w:r>
      <w:r>
        <w:br/>
      </w:r>
      <w:r>
        <w:rPr>
          <w:rStyle w:val="VerbatimChar"/>
        </w:rPr>
        <w:t xml:space="preserve">├── R/                       # Código fuente del paquete</w:t>
      </w:r>
      <w:r>
        <w:br/>
      </w:r>
      <w:r>
        <w:rPr>
          <w:rStyle w:val="VerbatimChar"/>
        </w:rPr>
        <w:t xml:space="preserve">│   ├── ptcalc-package.R     # Documentación general del paquete</w:t>
      </w:r>
      <w:r>
        <w:br/>
      </w:r>
      <w:r>
        <w:rPr>
          <w:rStyle w:val="VerbatimChar"/>
        </w:rPr>
        <w:t xml:space="preserve">│   ├── pt_robust_stats.R    # Estadísticos robustos: nIQR, MADe, Algoritmo A (~247 líneas)</w:t>
      </w:r>
      <w:r>
        <w:br/>
      </w:r>
      <w:r>
        <w:rPr>
          <w:rStyle w:val="VerbatimChar"/>
        </w:rPr>
        <w:t xml:space="preserve">│   ├── pt_homogeneity.R     # Homogeneidad y estabilidad (~290 líneas)</w:t>
      </w:r>
      <w:r>
        <w:br/>
      </w:r>
      <w:r>
        <w:rPr>
          <w:rStyle w:val="VerbatimChar"/>
        </w:rPr>
        <w:t xml:space="preserve">│   └── pt_scores.R          # Cálculo de puntajes: z, z', ζ, En (~275 líneas)</w:t>
      </w:r>
      <w:r>
        <w:br/>
      </w:r>
      <w:r>
        <w:rPr>
          <w:rStyle w:val="VerbatimChar"/>
        </w:rPr>
        <w:t xml:space="preserve">└── man/                     # Documentación generada automáticamente (.Rd)</w:t>
      </w:r>
      <w:r>
        <w:br/>
      </w:r>
      <w:r>
        <w:rPr>
          <w:rStyle w:val="VerbatimChar"/>
        </w:rPr>
        <w:t xml:space="preserve">    └── *.Rd                 # 21 archivos de ayuda de funciones</w:t>
      </w:r>
    </w:p>
    <w:p>
      <w:r>
        <w:pict>
          <v:rect style="width:0;height:1.5pt" o:hralign="center" o:hrstd="t" o:hr="t"/>
        </w:pict>
      </w:r>
    </w:p>
    <w:bookmarkEnd w:id="13"/>
    <w:bookmarkStart w:id="14" w:name="flujo-de-datos-en-el-paquete"/>
    <w:p>
      <w:pPr>
        <w:pStyle w:val="Heading2"/>
      </w:pPr>
      <w:r>
        <w:t xml:space="preserve">Flujo de Datos en el Paquete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"pt_robust_stats.R"</w:t>
      </w:r>
      <w:r>
        <w:br/>
      </w:r>
      <w:r>
        <w:rPr>
          <w:rStyle w:val="VerbatimChar"/>
        </w:rPr>
        <w:t xml:space="preserve">        A[calculate_niqr] --&gt; D[Robust SD]</w:t>
      </w:r>
      <w:r>
        <w:br/>
      </w:r>
      <w:r>
        <w:rPr>
          <w:rStyle w:val="VerbatimChar"/>
        </w:rPr>
        <w:t xml:space="preserve">        B[calculate_mad_e] --&gt; D</w:t>
      </w:r>
      <w:r>
        <w:br/>
      </w:r>
      <w:r>
        <w:rPr>
          <w:rStyle w:val="VerbatimChar"/>
        </w:rPr>
        <w:t xml:space="preserve">        C[run_algorithm_a] --&gt; 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"pt_homogeneity.R"</w:t>
      </w:r>
      <w:r>
        <w:br/>
      </w:r>
      <w:r>
        <w:rPr>
          <w:rStyle w:val="VerbatimChar"/>
        </w:rPr>
        <w:t xml:space="preserve">        E[calculate_homogeneity_stats] --&gt; F[ss, sw]</w:t>
      </w:r>
      <w:r>
        <w:br/>
      </w:r>
      <w:r>
        <w:rPr>
          <w:rStyle w:val="VerbatimChar"/>
        </w:rPr>
        <w:t xml:space="preserve">        F --&gt; G[evaluate_homogeneity]</w:t>
      </w:r>
      <w:r>
        <w:br/>
      </w:r>
      <w:r>
        <w:rPr>
          <w:rStyle w:val="VerbatimChar"/>
        </w:rPr>
        <w:t xml:space="preserve">        H[calculate_stability_stats] --&gt; I[evaluate_stability]</w:t>
      </w:r>
      <w:r>
        <w:br/>
      </w:r>
      <w:r>
        <w:rPr>
          <w:rStyle w:val="VerbatimChar"/>
        </w:rPr>
        <w:t xml:space="preserve">        F --&gt; J[calculate_u_hom]</w:t>
      </w:r>
      <w:r>
        <w:br/>
      </w:r>
      <w:r>
        <w:rPr>
          <w:rStyle w:val="VerbatimChar"/>
        </w:rPr>
        <w:t xml:space="preserve">        I --&gt; K[calculate_u_stab]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"pt_scores.R"</w:t>
      </w:r>
      <w:r>
        <w:br/>
      </w:r>
      <w:r>
        <w:rPr>
          <w:rStyle w:val="VerbatimChar"/>
        </w:rPr>
        <w:t xml:space="preserve">        D --&gt; L[calculate_z_score]</w:t>
      </w:r>
      <w:r>
        <w:br/>
      </w:r>
      <w:r>
        <w:rPr>
          <w:rStyle w:val="VerbatimChar"/>
        </w:rPr>
        <w:t xml:space="preserve">        D --&gt; M[calculate_z_prime_score]</w:t>
      </w:r>
      <w:r>
        <w:br/>
      </w:r>
      <w:r>
        <w:rPr>
          <w:rStyle w:val="VerbatimChar"/>
        </w:rPr>
        <w:t xml:space="preserve">        L --&gt; N[evaluate_z_score]</w:t>
      </w:r>
      <w:r>
        <w:br/>
      </w:r>
      <w:r>
        <w:rPr>
          <w:rStyle w:val="VerbatimChar"/>
        </w:rPr>
        <w:t xml:space="preserve">        O[calculate_en_score] --&gt; P[evaluate_en_score]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4"/>
    <w:bookmarkStart w:id="18" w:name="resumen-de-funciones-exportadas"/>
    <w:p>
      <w:pPr>
        <w:pStyle w:val="Heading2"/>
      </w:pPr>
      <w:r>
        <w:t xml:space="preserve">Resumen de Funciones Exportadas</w:t>
      </w:r>
    </w:p>
    <w:bookmarkStart w:id="15" w:name="estadísticos-robustos-pt_robust_stats.r"/>
    <w:p>
      <w:pPr>
        <w:pStyle w:val="Heading3"/>
      </w:pPr>
      <w:r>
        <w:t xml:space="preserve">1. Estadísticos Robustos (</w:t>
      </w:r>
      <w:r>
        <w:rPr>
          <w:rStyle w:val="VerbatimChar"/>
        </w:rPr>
        <w:t xml:space="preserve">pt_robust_stats.R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066"/>
        <w:gridCol w:w="154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Referencia 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calculate_niqr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(numeric)</w:t>
            </w:r>
          </w:p>
        </w:tc>
        <w:tc>
          <w:tcPr/>
          <w:p>
            <w:pPr>
              <w:pStyle w:val="Compact"/>
            </w:pPr>
            <w:r>
              <w:t xml:space="preserve">Valor nIQR (0.7413 * IQR)</w:t>
            </w:r>
          </w:p>
        </w:tc>
        <w:tc>
          <w:tcPr/>
          <w:p>
            <w:pPr>
              <w:pStyle w:val="Compact"/>
            </w:pPr>
            <w:r>
              <w:t xml:space="preserve">13528:2022 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calculate_mad_e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(numeric)</w:t>
            </w:r>
          </w:p>
        </w:tc>
        <w:tc>
          <w:tcPr/>
          <w:p>
            <w:pPr>
              <w:pStyle w:val="Compact"/>
            </w:pPr>
            <w:r>
              <w:t xml:space="preserve">Valor MADe (1.483 * MAD)</w:t>
            </w:r>
          </w:p>
        </w:tc>
        <w:tc>
          <w:tcPr/>
          <w:p>
            <w:pPr>
              <w:pStyle w:val="Compact"/>
            </w:pPr>
            <w:r>
              <w:t xml:space="preserve">13528:2022 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run_algorithm_a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</w:t>
            </w:r>
          </w:p>
        </w:tc>
        <w:tc>
          <w:tcPr/>
          <w:p>
            <w:pPr>
              <w:pStyle w:val="Compact"/>
            </w:pPr>
            <w:r>
              <w:t xml:space="preserve">Lista:</w:t>
            </w:r>
            <w:r>
              <w:t xml:space="preserve"> </w:t>
            </w:r>
            <w:r>
              <w:rPr>
                <w:rStyle w:val="VerbatimChar"/>
              </w:rPr>
              <w:t xml:space="preserve">assigned_value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robust_sd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winsorized_values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13528:2022 Anexo C</w:t>
            </w:r>
          </w:p>
        </w:tc>
      </w:tr>
    </w:tbl>
    <w:bookmarkEnd w:id="15"/>
    <w:bookmarkStart w:id="16" w:name="Xed82ee7299a15d939901a4336fec62cde216576"/>
    <w:p>
      <w:pPr>
        <w:pStyle w:val="Heading3"/>
      </w:pPr>
      <w:r>
        <w:t xml:space="preserve">2. Homogeneidad y Estabilidad (</w:t>
      </w:r>
      <w:r>
        <w:rPr>
          <w:rStyle w:val="VerbatimChar"/>
        </w:rPr>
        <w:t xml:space="preserve">pt_homogeneity.R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066"/>
        <w:gridCol w:w="154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Referencia 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calculate_homogeneity_stats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sample_data</w:t>
            </w:r>
            <w:r>
              <w:t xml:space="preserve"> </w:t>
            </w:r>
            <w:r>
              <w:t xml:space="preserve">(df/matrix)</w:t>
            </w:r>
          </w:p>
        </w:tc>
        <w:tc>
          <w:tcPr/>
          <w:p>
            <w:pPr>
              <w:pStyle w:val="Compact"/>
            </w:pPr>
            <w:r>
              <w:t xml:space="preserve">Lista: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grand_mean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13528:2022 §9.2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calculate_homogeneity_criterion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</w:pPr>
            <w:r>
              <w:t xml:space="preserve">Valor del criterio (0.3 * sigma_pt)</w:t>
            </w:r>
          </w:p>
        </w:tc>
        <w:tc>
          <w:tcPr/>
          <w:p>
            <w:pPr>
              <w:pStyle w:val="Compact"/>
            </w:pPr>
            <w:r>
              <w:t xml:space="preserve">13528:2022 §9.2.3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calculate_homogeneity_criterion_expanded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Criterio expandido (según §9.2.4)</w:t>
            </w:r>
          </w:p>
        </w:tc>
        <w:tc>
          <w:tcPr/>
          <w:p>
            <w:pPr>
              <w:pStyle w:val="Compact"/>
            </w:pPr>
            <w:r>
              <w:t xml:space="preserve">13528:2022 §9.2.4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evaluate_homogeneity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c_expanded</w:t>
            </w:r>
          </w:p>
        </w:tc>
        <w:tc>
          <w:tcPr/>
          <w:p>
            <w:pPr>
              <w:pStyle w:val="Compact"/>
            </w:pPr>
            <w:r>
              <w:t xml:space="preserve">Lista:</w:t>
            </w:r>
            <w:r>
              <w:t xml:space="preserve"> </w:t>
            </w:r>
            <w:r>
              <w:rPr>
                <w:rStyle w:val="VerbatimChar"/>
              </w:rPr>
              <w:t xml:space="preserve">passes_criterion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conclusion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13528:2022 §9.2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calculate_stability_stats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hom_stab_x_pt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hom_stab_sigma_pt</w:t>
            </w:r>
          </w:p>
        </w:tc>
        <w:tc>
          <w:tcPr/>
          <w:p>
            <w:pPr>
              <w:pStyle w:val="Compact"/>
            </w:pPr>
            <w:r>
              <w:t xml:space="preserve">Lista:</w:t>
            </w:r>
            <w:r>
              <w:t xml:space="preserve"> </w:t>
            </w:r>
            <w:r>
              <w:rPr>
                <w:rStyle w:val="VerbatimChar"/>
              </w:rPr>
              <w:t xml:space="preserve">stab_grand_mean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diff_hom_stab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hom_stab_median_of_diffs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hom_stab_sigma_pt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13528:2022 §9.3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calculate_stability_criterion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</w:pPr>
            <w:r>
              <w:t xml:space="preserve">Criterio de estabilidad (0.3 * sigma_pt)</w:t>
            </w:r>
          </w:p>
        </w:tc>
        <w:tc>
          <w:tcPr/>
          <w:p>
            <w:pPr>
              <w:pStyle w:val="Compact"/>
            </w:pPr>
            <w:r>
              <w:t xml:space="preserve">13528:2022 §9.3.3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calculate_stability_criterion_expanded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c_crit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u_hom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u_stab</w:t>
            </w:r>
          </w:p>
        </w:tc>
        <w:tc>
          <w:tcPr/>
          <w:p>
            <w:pPr>
              <w:pStyle w:val="Compact"/>
            </w:pPr>
            <w:r>
              <w:t xml:space="preserve">Criterio de estabilidad expandido</w:t>
            </w:r>
          </w:p>
        </w:tc>
        <w:tc>
          <w:tcPr/>
          <w:p>
            <w:pPr>
              <w:pStyle w:val="Compact"/>
            </w:pPr>
            <w:r>
              <w:t xml:space="preserve">13528:2022 §9.3.4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c_crit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c_exp</w:t>
            </w:r>
          </w:p>
        </w:tc>
        <w:tc>
          <w:tcPr/>
          <w:p>
            <w:pPr>
              <w:pStyle w:val="Compact"/>
            </w:pPr>
            <w:r>
              <w:t xml:space="preserve">Lista:</w:t>
            </w:r>
            <w:r>
              <w:t xml:space="preserve"> </w:t>
            </w:r>
            <w:r>
              <w:rPr>
                <w:rStyle w:val="VerbatimChar"/>
              </w:rPr>
              <w:t xml:space="preserve">passes_criterion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13528:2022 §9.3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calculate_u_hom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Incertidumbre estándar por homogeneidad</w:t>
            </w:r>
          </w:p>
        </w:tc>
        <w:tc>
          <w:tcPr/>
          <w:p>
            <w:pPr>
              <w:pStyle w:val="Compact"/>
            </w:pPr>
            <w:r>
              <w:t xml:space="preserve">13528:2022 §9.5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calculate_u_stab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c_crit</w:t>
            </w:r>
          </w:p>
        </w:tc>
        <w:tc>
          <w:tcPr/>
          <w:p>
            <w:pPr>
              <w:pStyle w:val="Compact"/>
            </w:pPr>
            <w:r>
              <w:t xml:space="preserve">Incertidumbre estándar por estabilidad</w:t>
            </w:r>
          </w:p>
        </w:tc>
        <w:tc>
          <w:tcPr/>
          <w:p>
            <w:pPr>
              <w:pStyle w:val="Compact"/>
            </w:pPr>
            <w:r>
              <w:t xml:space="preserve">13528:2022 §9.5</w:t>
            </w:r>
          </w:p>
        </w:tc>
      </w:tr>
    </w:tbl>
    <w:bookmarkEnd w:id="16"/>
    <w:bookmarkStart w:id="17" w:name="cálculo-de-puntajes-pt_scores.r"/>
    <w:p>
      <w:pPr>
        <w:pStyle w:val="Heading3"/>
      </w:pPr>
      <w:r>
        <w:t xml:space="preserve">3. Cálculo de Puntajes (</w:t>
      </w:r>
      <w:r>
        <w:rPr>
          <w:rStyle w:val="VerbatimChar"/>
        </w:rPr>
        <w:t xml:space="preserve">pt_scores.R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066"/>
        <w:gridCol w:w="154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Referencia 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</w:pPr>
            <w:r>
              <w:t xml:space="preserve">Valor del puntaje z</w:t>
            </w:r>
          </w:p>
        </w:tc>
        <w:tc>
          <w:tcPr/>
          <w:p>
            <w:pPr>
              <w:pStyle w:val="Compact"/>
            </w:pPr>
            <w:r>
              <w:t xml:space="preserve">13528:2022 §10.2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calculate_z_prime_score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sigma_pt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</w:pPr>
            <w:r>
              <w:t xml:space="preserve">Valor del puntaje z’</w:t>
            </w:r>
          </w:p>
        </w:tc>
        <w:tc>
          <w:tcPr/>
          <w:p>
            <w:pPr>
              <w:pStyle w:val="Compact"/>
            </w:pPr>
            <w:r>
              <w:t xml:space="preserve">13528:2022 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calculate_zeta_score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</w:pPr>
            <w:r>
              <w:t xml:space="preserve">Valor del puntaje ζ</w:t>
            </w:r>
          </w:p>
        </w:tc>
        <w:tc>
          <w:tcPr/>
          <w:p>
            <w:pPr>
              <w:pStyle w:val="Compact"/>
            </w:pPr>
            <w:r>
              <w:t xml:space="preserve">13528:2022 §10.4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calculate_en_score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</w:pPr>
            <w:r>
              <w:t xml:space="preserve">Valor del puntaje En</w:t>
            </w:r>
          </w:p>
        </w:tc>
        <w:tc>
          <w:tcPr/>
          <w:p>
            <w:pPr>
              <w:pStyle w:val="Compact"/>
            </w:pPr>
            <w:r>
              <w:t xml:space="preserve">13528:2022 §10.5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evaluate_z_score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Clasificación (Satisfactorio, Cuestionable, No sat.)</w:t>
            </w:r>
          </w:p>
        </w:tc>
        <w:tc>
          <w:tcPr/>
          <w:p>
            <w:pPr>
              <w:pStyle w:val="Compact"/>
            </w:pPr>
            <w:r>
              <w:t xml:space="preserve">13528:2022 §10.6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evaluate_z_score_vec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(vector)</w:t>
            </w:r>
          </w:p>
        </w:tc>
        <w:tc>
          <w:tcPr/>
          <w:p>
            <w:pPr>
              <w:pStyle w:val="Compact"/>
            </w:pPr>
            <w:r>
              <w:t xml:space="preserve">Vector de clasificaciones</w:t>
            </w:r>
          </w:p>
        </w:tc>
        <w:tc>
          <w:tcPr/>
          <w:p>
            <w:pPr>
              <w:pStyle w:val="Compact"/>
            </w:pPr>
            <w:r>
              <w:t xml:space="preserve">13528:2022 §10.6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evaluate_en_score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Clasificación (Satisfactorio, No sat.)</w:t>
            </w:r>
          </w:p>
        </w:tc>
        <w:tc>
          <w:tcPr/>
          <w:p>
            <w:pPr>
              <w:pStyle w:val="Compact"/>
            </w:pPr>
            <w:r>
              <w:t xml:space="preserve">13528:2022 §10.6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evaluate_en_score_vec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(vector)</w:t>
            </w:r>
          </w:p>
        </w:tc>
        <w:tc>
          <w:tcPr/>
          <w:p>
            <w:pPr>
              <w:pStyle w:val="Compact"/>
            </w:pPr>
            <w:r>
              <w:t xml:space="preserve">Vector de clasificaciones</w:t>
            </w:r>
          </w:p>
        </w:tc>
        <w:tc>
          <w:tcPr/>
          <w:p>
            <w:pPr>
              <w:pStyle w:val="Compact"/>
            </w:pPr>
            <w:r>
              <w:t xml:space="preserve">13528:2022 §10.6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fórmulas-matemáticas-implementadas"/>
    <w:p>
      <w:pPr>
        <w:pStyle w:val="Heading2"/>
      </w:pPr>
      <w:r>
        <w:t xml:space="preserve">Fórmulas Matemáticas Implementadas</w:t>
      </w:r>
    </w:p>
    <w:bookmarkStart w:id="19" w:name="estadísticos-robustos"/>
    <w:p>
      <w:pPr>
        <w:pStyle w:val="Heading3"/>
      </w:pPr>
      <w:r>
        <w:t xml:space="preserve">Estadísticos Robustos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nIQR:</w:t>
      </w:r>
      <w:r>
        <w:t xml:space="preserve"> </w:t>
      </w:r>
      <w:r>
        <w:rPr>
          <w:rStyle w:val="VerbatimChar"/>
        </w:rPr>
        <w:t xml:space="preserve">nIQR = 0.7413 × (Q3 - Q1)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MADe:</w:t>
      </w:r>
      <w:r>
        <w:t xml:space="preserve"> </w:t>
      </w:r>
      <w:r>
        <w:rPr>
          <w:rStyle w:val="VerbatimChar"/>
        </w:rPr>
        <w:t xml:space="preserve">MADe = 1.483 × median(|xi - median(x)|)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Algoritmo A (Winsorización):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δ = 1.5 × s*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x_winsorized = clamp(x_i, x* - δ, x* + δ)</w:t>
      </w:r>
      <w:r>
        <w:t xml:space="preserve"> </w:t>
      </w:r>
      <w:r>
        <w:t xml:space="preserve">(valores limitados a [x* - δ, x* + δ])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x*nuevo = mean(x_winsorized)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s*nuevo = 1.134 × √[Σ(x* - x_winsorized)²/(p-1)]</w:t>
      </w:r>
    </w:p>
    <w:bookmarkEnd w:id="19"/>
    <w:bookmarkStart w:id="20" w:name="homogeneidad"/>
    <w:p>
      <w:pPr>
        <w:pStyle w:val="Heading3"/>
      </w:pPr>
      <w:r>
        <w:t xml:space="preserve">Homogeneidad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Desviación típica intra-muestra (m=2):</w:t>
      </w:r>
      <w:r>
        <w:t xml:space="preserve"> </w:t>
      </w:r>
      <w:r>
        <w:rPr>
          <w:rStyle w:val="VerbatimChar"/>
        </w:rPr>
        <w:t xml:space="preserve">s_w = √[Σ(rango_i²) / (2g)]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Varianza entre-muestras:</w:t>
      </w:r>
      <w:r>
        <w:t xml:space="preserve"> </w:t>
      </w:r>
      <w:r>
        <w:rPr>
          <w:rStyle w:val="VerbatimChar"/>
        </w:rPr>
        <w:t xml:space="preserve">s_s² = |s_x̄² - s_w²/m|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 estándar:</w:t>
      </w:r>
      <w:r>
        <w:t xml:space="preserve"> </w:t>
      </w:r>
      <w:r>
        <w:rPr>
          <w:rStyle w:val="VerbatimChar"/>
        </w:rPr>
        <w:t xml:space="preserve">c = 0.3 × σ_pt</w:t>
      </w:r>
    </w:p>
    <w:bookmarkEnd w:id="20"/>
    <w:bookmarkStart w:id="21" w:name="puntajes-scores"/>
    <w:p>
      <w:pPr>
        <w:pStyle w:val="Heading3"/>
      </w:pPr>
      <w:r>
        <w:t xml:space="preserve">Puntajes (Scores)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z:</w:t>
      </w:r>
      <w:r>
        <w:t xml:space="preserve"> </w:t>
      </w:r>
      <w:r>
        <w:rPr>
          <w:rStyle w:val="VerbatimChar"/>
        </w:rPr>
        <w:t xml:space="preserve">z = (x - x_pt) / σ_pt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z’:</w:t>
      </w:r>
      <w:r>
        <w:t xml:space="preserve"> </w:t>
      </w:r>
      <w:r>
        <w:rPr>
          <w:rStyle w:val="VerbatimChar"/>
        </w:rPr>
        <w:t xml:space="preserve">z' = (x - x_pt) / √(σ_pt² + u_xpt²)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ζ:</w:t>
      </w:r>
      <w:r>
        <w:t xml:space="preserve"> </w:t>
      </w:r>
      <w:r>
        <w:rPr>
          <w:rStyle w:val="VerbatimChar"/>
        </w:rPr>
        <w:t xml:space="preserve">ζ = (x - x_pt) / √(u_x² + u_xpt²)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En:</w:t>
      </w:r>
      <w:r>
        <w:t xml:space="preserve"> </w:t>
      </w:r>
      <w:r>
        <w:rPr>
          <w:rStyle w:val="VerbatimChar"/>
        </w:rPr>
        <w:t xml:space="preserve">En = (x - x_pt) / √(U_x² + U_xpt²)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lujo-de-desarrollo"/>
    <w:p>
      <w:pPr>
        <w:pStyle w:val="Heading2"/>
      </w:pPr>
      <w:r>
        <w:t xml:space="preserve">Flujo de Desarrollo</w:t>
      </w:r>
    </w:p>
    <w:bookmarkStart w:id="23" w:name="carga-para-desarrollo-iteración-rápida"/>
    <w:p>
      <w:pPr>
        <w:pStyle w:val="Heading3"/>
      </w:pPr>
      <w:r>
        <w:t xml:space="preserve">1. Carga para Desarrollo (Iteración rápida)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Durante el desarrollo activo para ver cambios instantáneamente sin reinstalar.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Carga rápida, no requiere reconstruir documentación.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Contras:</w:t>
      </w:r>
      <w:r>
        <w:t xml:space="preserve"> </w:t>
      </w:r>
      <w:r>
        <w:t xml:space="preserve">Los cambios no persisten en la librería instalada del sistema.</w:t>
      </w:r>
    </w:p>
    <w:bookmarkEnd w:id="23"/>
    <w:bookmarkStart w:id="24" w:name="instalación-para-producción"/>
    <w:p>
      <w:pPr>
        <w:pStyle w:val="Heading3"/>
      </w:pPr>
      <w:r>
        <w:t xml:space="preserve">2. Instalación para Producción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 alternativamente</w:t>
      </w:r>
      <w:r>
        <w:br/>
      </w:r>
      <w:r>
        <w:rPr>
          <w:rStyle w:val="NormalTok"/>
        </w:rPr>
        <w:t xml:space="preserve">remotes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install_local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Al desplegar la aplicación o crear una versión estable.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Instalación persistente, disponible en cualquier sesión de R.</w:t>
      </w:r>
    </w:p>
    <w:bookmarkEnd w:id="24"/>
    <w:bookmarkStart w:id="25" w:name="reconstrucción-de-documentación"/>
    <w:p>
      <w:pPr>
        <w:pStyle w:val="Heading3"/>
      </w:pPr>
      <w:r>
        <w:t xml:space="preserve">3. Reconstrucción de Documentación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document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Cuándo ejecutar:</w:t>
      </w:r>
      <w:r>
        <w:t xml:space="preserve"> </w:t>
      </w:r>
      <w:r>
        <w:t xml:space="preserve">Después de añadir nuevas funciones o modificar parámetros con comentarios Roxygen2.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anejo-de-errores"/>
    <w:p>
      <w:pPr>
        <w:pStyle w:val="Heading2"/>
      </w:pPr>
      <w:r>
        <w:t xml:space="preserve">Manejo de Errores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insuficientes (n &lt; 2)</w:t>
            </w:r>
          </w:p>
        </w:tc>
        <w:tc>
          <w:tcPr/>
          <w:p>
            <w:pPr>
              <w:pStyle w:val="Compact"/>
            </w:pP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NA_real_</w:t>
            </w:r>
            <w:r>
              <w:t xml:space="preserve"> </w:t>
            </w:r>
            <w:r>
              <w:t xml:space="preserve">o lista con atributo</w:t>
            </w:r>
            <w:r>
              <w:t xml:space="preserve"> </w:t>
            </w:r>
            <w:r>
              <w:rPr>
                <w:rStyle w:val="VerbatimChar"/>
              </w:rPr>
              <w:t xml:space="preserve">$error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División por cero</w:t>
            </w:r>
          </w:p>
        </w:tc>
        <w:tc>
          <w:tcPr/>
          <w:p>
            <w:pPr>
              <w:pStyle w:val="Compact"/>
            </w:pPr>
            <w:r>
              <w:t xml:space="preserve">Retorna</w:t>
            </w:r>
            <w:r>
              <w:t xml:space="preserve"> </w:t>
            </w:r>
            <w:r>
              <w:rPr>
                <w:rStyle w:val="VerbatimChar"/>
              </w:rPr>
              <w:t xml:space="preserve">NA_real_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no finitos (Inf, NaN)</w:t>
            </w:r>
          </w:p>
        </w:tc>
        <w:tc>
          <w:tcPr/>
          <w:p>
            <w:pPr>
              <w:pStyle w:val="Compact"/>
            </w:pPr>
            <w:r>
              <w:t xml:space="preserve">Filtrados automáticamente o resultan en error controlado.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 cero</w:t>
            </w:r>
          </w:p>
        </w:tc>
        <w:tc>
          <w:tcPr/>
          <w:p>
            <w:pPr>
              <w:pStyle w:val="Compact"/>
            </w:pPr>
            <w:r>
              <w:t xml:space="preserve">Manejada con fallback a desviación estándar clásica si aplica.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uso-en-la-aplicación"/>
    <w:p>
      <w:pPr>
        <w:pStyle w:val="Heading2"/>
      </w:pPr>
      <w:r>
        <w:t xml:space="preserve">Uso en la Aplicación</w:t>
      </w:r>
    </w:p>
    <w:bookmarkStart w:id="28" w:name="ejemplo-uso-en-un-reactive-de-shiny"/>
    <w:p>
      <w:pPr>
        <w:pStyle w:val="Heading3"/>
      </w:pPr>
      <w:r>
        <w:t xml:space="preserve">Ejemplo: Uso en un Reactive de Shiny</w:t>
      </w:r>
    </w:p>
    <w:p>
      <w:pPr>
        <w:pStyle w:val="SourceCode"/>
      </w:pPr>
      <w:r>
        <w:rPr>
          <w:rStyle w:val="NormalTok"/>
        </w:rPr>
        <w:t xml:space="preserve">scores_data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Obtener valor asignado (Algoritmo A)</w:t>
      </w:r>
      <w:r>
        <w:br/>
      </w:r>
      <w:r>
        <w:rPr>
          <w:rStyle w:val="NormalTok"/>
        </w:rPr>
        <w:t xml:space="preserve">  res_a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run_algorithm_a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  x_pt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assigned_value</w:t>
      </w:r>
      <w:r>
        <w:br/>
      </w:r>
      <w:r>
        <w:rPr>
          <w:rStyle w:val="NormalTok"/>
        </w:rPr>
        <w:t xml:space="preserve">  sigma_pt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sigma_pt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calculate_z_score</w:t>
      </w:r>
      <w:r>
        <w:rPr>
          <w:rStyle w:val="NormalTok"/>
        </w:rPr>
        <w:t xml:space="preserve">(valor, x_pt, sigma_pt),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evaluate_z_score_vec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})</w:t>
      </w:r>
    </w:p>
    <w:bookmarkEnd w:id="28"/>
    <w:bookmarkStart w:id="29" w:name="ejemplo-evaluación-de-homogeneidad"/>
    <w:p>
      <w:pPr>
        <w:pStyle w:val="Heading3"/>
      </w:pPr>
      <w:r>
        <w:t xml:space="preserve">Ejemplo: Evaluación de Homogeneidad</w:t>
      </w:r>
    </w:p>
    <w:p>
      <w:pPr>
        <w:pStyle w:val="SourceCode"/>
      </w:pPr>
      <w:r>
        <w:rPr>
          <w:rStyle w:val="NormalTok"/>
        </w:rPr>
        <w:t xml:space="preserve">hom_stats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calculate_homogeneity_stats</w:t>
      </w:r>
      <w:r>
        <w:rPr>
          <w:rStyle w:val="NormalTok"/>
        </w:rPr>
        <w:t xml:space="preserve">(datos_csv)</w:t>
      </w:r>
      <w:r>
        <w:br/>
      </w:r>
      <w:r>
        <w:rPr>
          <w:rStyle w:val="NormalTok"/>
        </w:rPr>
        <w:t xml:space="preserve">criterion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calculate_homogeneity_criterion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evaluacion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evaluate_homogeneity</w:t>
      </w:r>
      <w:r>
        <w:rPr>
          <w:rStyle w:val="NormalTok"/>
        </w:rPr>
        <w:t xml:space="preserve">(hom_stats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ss, criterion)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(evaluacion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passes_criterion)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muestra es homogénea."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conclusion)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stado-de-la-documentación-y-pruebas"/>
    <w:p>
      <w:pPr>
        <w:pStyle w:val="Heading2"/>
      </w:pPr>
      <w:r>
        <w:t xml:space="preserve">Estado de la Documentación y Pruebas</w:t>
      </w:r>
    </w:p>
    <w:bookmarkStart w:id="31" w:name="cobertura-de-documentación-roxygen2"/>
    <w:p>
      <w:pPr>
        <w:pStyle w:val="Heading3"/>
      </w:pPr>
      <w:r>
        <w:t xml:space="preserve">Cobertura de Documentación Roxygen2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Funciones exportadas:</w:t>
      </w:r>
      <w:r>
        <w:t xml:space="preserve"> </w:t>
      </w:r>
      <w:r>
        <w:t xml:space="preserve">21 (100% documentadas).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Ejemplos incluidos:</w:t>
      </w:r>
      <w:r>
        <w:t xml:space="preserve"> </w:t>
      </w:r>
      <w:r>
        <w:t xml:space="preserve">15 (71% de las funciones).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Formatos:</w:t>
      </w:r>
      <w:r>
        <w:t xml:space="preserve"> </w:t>
      </w:r>
      <w:r>
        <w:t xml:space="preserve">Archivos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generados en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</w:p>
    <w:bookmarkEnd w:id="31"/>
    <w:bookmarkStart w:id="32" w:name="estado-de-pruebas-unitarias"/>
    <w:p>
      <w:pPr>
        <w:pStyle w:val="Heading3"/>
      </w:pPr>
      <w:r>
        <w:t xml:space="preserve">Estado de Pruebas Unitarias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Framework: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(configurado pero con cobertura inicial).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ptcalc/tests/testthat/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Áreas críticas cubiertas:</w:t>
      </w:r>
      <w:r>
        <w:t xml:space="preserve"> </w:t>
      </w:r>
      <w:r>
        <w:t xml:space="preserve">Estadísticos robustos y fórmulas de puntajes.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Próximos pasos:</w:t>
      </w:r>
      <w:r>
        <w:t xml:space="preserve"> </w:t>
      </w:r>
      <w:r>
        <w:t xml:space="preserve">Implementar pruebas de casos de borde para homogeneidad y estabilidad.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- Statistical methods for use in proficiency testing by interlaboratory comparison.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 17043:2024</w:t>
      </w:r>
      <w:r>
        <w:t xml:space="preserve"> </w:t>
      </w:r>
      <w:r>
        <w:t xml:space="preserve">- Conformity assessment — General requirements for proficiency testing.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Huber, P.J. (1964)</w:t>
      </w:r>
      <w:r>
        <w:t xml:space="preserve"> </w:t>
      </w:r>
      <w:r>
        <w:t xml:space="preserve">- Robust estimation of a location parameter.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Thompson, M. (2000)</w:t>
      </w:r>
      <w:r>
        <w:t xml:space="preserve"> </w:t>
      </w:r>
      <w:r>
        <w:t xml:space="preserve">- Recent trends in internal quality control.</w:t>
      </w:r>
    </w:p>
    <w:p>
      <w:r>
        <w:pict>
          <v:rect style="width:0;height:1.5pt" o:hralign="center" o:hrstd="t" o:hr="t"/>
        </w:pict>
      </w:r>
    </w:p>
    <w:bookmarkEnd w:id="34"/>
    <w:bookmarkStart w:id="39" w:name="documentos-relacionados"/>
    <w:p>
      <w:pPr>
        <w:pStyle w:val="Heading2"/>
      </w:pPr>
      <w:r>
        <w:t xml:space="preserve">Documentos Relacionados</w:t>
      </w:r>
    </w:p>
    <w:p>
      <w:pPr>
        <w:pStyle w:val="Compact"/>
        <w:numPr>
          <w:ilvl w:val="0"/>
          <w:numId w:val="1013"/>
        </w:numPr>
      </w:pPr>
      <w:hyperlink r:id="rId35">
        <w:r>
          <w:rPr>
            <w:rStyle w:val="Hyperlink"/>
          </w:rPr>
          <w:t xml:space="preserve">02a_api_ptcalc.md</w:t>
        </w:r>
      </w:hyperlink>
      <w:r>
        <w:t xml:space="preserve"> </w:t>
      </w:r>
      <w:r>
        <w:t xml:space="preserve">- Referencia API completa con ejemplos detallados.</w:t>
      </w:r>
    </w:p>
    <w:p>
      <w:pPr>
        <w:pStyle w:val="Compact"/>
        <w:numPr>
          <w:ilvl w:val="0"/>
          <w:numId w:val="1013"/>
        </w:numPr>
      </w:pPr>
      <w:hyperlink r:id="rId36">
        <w:r>
          <w:rPr>
            <w:rStyle w:val="Hyperlink"/>
          </w:rPr>
          <w:t xml:space="preserve">03_estadisticas_robustas_pt.md</w:t>
        </w:r>
      </w:hyperlink>
      <w:r>
        <w:t xml:space="preserve"> </w:t>
      </w:r>
      <w:r>
        <w:t xml:space="preserve">- Documentación profunda de estadísticos robustos.</w:t>
      </w:r>
    </w:p>
    <w:p>
      <w:pPr>
        <w:pStyle w:val="Compact"/>
        <w:numPr>
          <w:ilvl w:val="0"/>
          <w:numId w:val="1013"/>
        </w:numPr>
      </w:pPr>
      <w:hyperlink r:id="rId37">
        <w:r>
          <w:rPr>
            <w:rStyle w:val="Hyperlink"/>
          </w:rPr>
          <w:t xml:space="preserve">04_homogeneidad_pt.md</w:t>
        </w:r>
      </w:hyperlink>
      <w:r>
        <w:t xml:space="preserve"> </w:t>
      </w:r>
      <w:r>
        <w:t xml:space="preserve">- Manual de homogeneidad.</w:t>
      </w:r>
    </w:p>
    <w:p>
      <w:pPr>
        <w:pStyle w:val="Compact"/>
        <w:numPr>
          <w:ilvl w:val="0"/>
          <w:numId w:val="1013"/>
        </w:numPr>
      </w:pPr>
      <w:hyperlink r:id="rId38">
        <w:r>
          <w:rPr>
            <w:rStyle w:val="Hyperlink"/>
          </w:rPr>
          <w:t xml:space="preserve">05_puntajes_pt.md</w:t>
        </w:r>
      </w:hyperlink>
      <w:r>
        <w:t xml:space="preserve"> </w:t>
      </w:r>
      <w:r>
        <w:t xml:space="preserve">- Guía detallada de puntajes.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02a_api_ptcalc.md" TargetMode="External" /><Relationship Type="http://schemas.openxmlformats.org/officeDocument/2006/relationships/hyperlink" Id="rId36" Target="03_estadisticas_robustas_pt.md" TargetMode="External" /><Relationship Type="http://schemas.openxmlformats.org/officeDocument/2006/relationships/hyperlink" Id="rId37" Target="04_homogeneidad_pt.md" TargetMode="External" /><Relationship Type="http://schemas.openxmlformats.org/officeDocument/2006/relationships/hyperlink" Id="rId38" Target="05_puntajes_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02a_api_ptcalc.md" TargetMode="External" /><Relationship Type="http://schemas.openxmlformats.org/officeDocument/2006/relationships/hyperlink" Id="rId36" Target="03_estadisticas_robustas_pt.md" TargetMode="External" /><Relationship Type="http://schemas.openxmlformats.org/officeDocument/2006/relationships/hyperlink" Id="rId37" Target="04_homogeneidad_pt.md" TargetMode="External" /><Relationship Type="http://schemas.openxmlformats.org/officeDocument/2006/relationships/hyperlink" Id="rId38" Target="05_puntajes_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2026-01-29T03:50:29Z</dcterms:created>
  <dcterms:modified xsi:type="dcterms:W3CDTF">2026-01-29T03:50:29Z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