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19b0ecfda2552b21ce6456d8c3b7596ebaabf6c"/>
    <w:p>
      <w:pPr>
        <w:pStyle w:val="Heading1"/>
      </w:pPr>
      <w:r>
        <w:t xml:space="preserve">Evaluación de Homogeneidad y Estabilidad (ISO 13528:2022)</w:t>
      </w:r>
    </w:p>
    <w:bookmarkStart w:id="9" w:name="descripción-general"/>
    <w:p>
      <w:pPr>
        <w:pStyle w:val="Heading2"/>
      </w:pPr>
      <w:r>
        <w:t xml:space="preserve">1. Descripción General</w:t>
      </w:r>
    </w:p>
    <w:p>
      <w:pPr>
        <w:pStyle w:val="FirstParagraph"/>
      </w:pPr>
      <w:r>
        <w:t xml:space="preserve">Este módulo implementa los métodos estadísticos descritos en las</w:t>
      </w:r>
      <w:r>
        <w:t xml:space="preserve"> </w:t>
      </w:r>
      <w:r>
        <w:rPr>
          <w:b/>
          <w:bCs/>
        </w:rPr>
        <w:t xml:space="preserve">Secciones 7.4 y 7.5 de la norma ISO 13528:2022</w:t>
      </w:r>
      <w:r>
        <w:t xml:space="preserve"> </w:t>
      </w:r>
      <w:r>
        <w:t xml:space="preserve">para evaluar si los ítems de los ensayos de aptitud (PT) son suficientemente homogéneos y estables.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Homogeneidad</w:t>
      </w:r>
      <w:r>
        <w:t xml:space="preserve">: Asegura que cada participante reciba un ítem de ensayo equivalente. La falta de homogeneidad hace que la evaluación del desempeño sea injusta.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Estabilidad</w:t>
      </w:r>
      <w:r>
        <w:t xml:space="preserve">: Verifica que las propiedades del material no cambien significativamente durante el periodo del PT, asegurando la consistencia independientemente de cuándo el participante realice el ensayo.</w:t>
      </w:r>
    </w:p>
    <w:p>
      <w:r>
        <w:pict>
          <v:rect style="width:0;height:1.5pt" o:hralign="center" o:hrstd="t" o:hr="t"/>
        </w:pict>
      </w:r>
    </w:p>
    <w:bookmarkEnd w:id="9"/>
    <w:bookmarkStart w:id="10" w:name="especificaciones-técnicas"/>
    <w:p>
      <w:pPr>
        <w:pStyle w:val="Heading2"/>
      </w:pPr>
      <w:r>
        <w:t xml:space="preserve">2. Especificaciones Técnicas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ptcalc/R/pt_homogeneity.R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Líneas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1 - 410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13528:2022, Guía ISO 35:2017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modelo-estadístico-anova-de-un-factor"/>
    <w:p>
      <w:pPr>
        <w:pStyle w:val="Heading2"/>
      </w:pPr>
      <w:r>
        <w:t xml:space="preserve">3. Modelo Estadístico: ANOVA de un Factor</w:t>
      </w:r>
    </w:p>
    <w:p>
      <w:pPr>
        <w:pStyle w:val="FirstParagraph"/>
      </w:pPr>
      <w:r>
        <w:t xml:space="preserve">La evaluación se basa en un modelo de Análisis de Varianza (ANOVA) de un factor: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m:oMath>
        <m:r>
          <m:t>j</m:t>
        </m:r>
      </m:oMath>
      <w:r>
        <w:t xml:space="preserve">-ésima medición de la</w:t>
      </w:r>
      <w:r>
        <w:t xml:space="preserve"> </w:t>
      </w:r>
      <m:oMath>
        <m:r>
          <m:t>i</m:t>
        </m:r>
      </m:oMath>
      <w:r>
        <w:t xml:space="preserve">-ésima muestra.</w:t>
      </w:r>
      <w:r>
        <w:t xml:space="preserve"> </w:t>
      </w:r>
      <w:r>
        <w:t xml:space="preserve">-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= Media general.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Efecto de la muestra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(variación entre muestras).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Error de medición (variación dentro de la muestra).</w:t>
      </w:r>
    </w:p>
    <w:p>
      <w:r>
        <w:pict>
          <v:rect style="width:0;height:1.5pt" o:hralign="center" o:hrstd="t" o:hr="t"/>
        </w:pict>
      </w:r>
    </w:p>
    <w:bookmarkEnd w:id="11"/>
    <w:bookmarkStart w:id="17" w:name="evaluación-de-homogeneidad"/>
    <w:p>
      <w:pPr>
        <w:pStyle w:val="Heading2"/>
      </w:pPr>
      <w:r>
        <w:t xml:space="preserve">4. Evaluación de Homogeneidad</w:t>
      </w:r>
    </w:p>
    <w:bookmarkStart w:id="12" w:name="funciones"/>
    <w:p>
      <w:pPr>
        <w:pStyle w:val="Heading3"/>
      </w:pPr>
      <w:r>
        <w:t xml:space="preserve">4.1 Funciones</w:t>
      </w:r>
    </w:p>
    <w:p>
      <w:pPr>
        <w:pStyle w:val="FirstParagraph"/>
      </w:pPr>
      <w:r>
        <w:t xml:space="preserve">La función principal para el cálculo de la homogeneidad es:</w:t>
      </w:r>
      <w:r>
        <w:t xml:space="preserve"> </w:t>
      </w:r>
      <w:r>
        <w:rPr>
          <w:rStyle w:val="VerbatimChar"/>
        </w:rPr>
        <w:t xml:space="preserve">calculate_homogeneity_stats(sample_data)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sample_data</w:t>
      </w:r>
      <w:r>
        <w:t xml:space="preserve">: Una matriz o data frame donde las filas representan ítems (muestras) y las columnas representan réplicas.</w:t>
      </w:r>
    </w:p>
    <w:p>
      <w:pPr>
        <w:pStyle w:val="BodyText"/>
      </w:pPr>
      <w:r>
        <w:rPr>
          <w:b/>
          <w:bCs/>
        </w:rPr>
        <w:t xml:space="preserve">Retorna: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</w:t>
      </w:r>
      <w:r>
        <w:t xml:space="preserve">: Número de muestras.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</w:t>
      </w:r>
      <w:r>
        <w:t xml:space="preserve">: Número de réplicas por muestra.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general_mean_homog</w:t>
      </w:r>
      <w:r>
        <w:t xml:space="preserve">: Media general de TODOS los valores (</w:t>
      </w:r>
      <m:oMath>
        <m:acc>
          <m:accPr>
            <m:chr m:val="‾"/>
          </m:acc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acc>
      </m:oMath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sample_means</w:t>
      </w:r>
      <w:r>
        <w:t xml:space="preserve">: Vector de medias para cada muestra.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x_pt</w:t>
      </w:r>
      <w:r>
        <w:t xml:space="preserve">: Mediana de la primera réplica (valor asignado estimado).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s_x_bar_sq</w:t>
      </w:r>
      <w:r>
        <w:t xml:space="preserve">: Varianza de las medias de las muestras.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s_xt</w:t>
      </w:r>
      <w:r>
        <w:t xml:space="preserve">: Desviación estándar de las medias de las muestras.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sw</w:t>
      </w:r>
      <w:r>
        <w:t xml:space="preserve">: Desviación estándar dentro de las muestras (within-sample).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ss</w:t>
      </w:r>
      <w:r>
        <w:t xml:space="preserve">: Desviación estándar entre muestras (between-sample).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sw_sq</w:t>
      </w:r>
      <w:r>
        <w:t xml:space="preserve">,</w:t>
      </w:r>
      <w:r>
        <w:t xml:space="preserve"> </w:t>
      </w:r>
      <w:r>
        <w:rPr>
          <w:rStyle w:val="VerbatimChar"/>
        </w:rPr>
        <w:t xml:space="preserve">ss_sq</w:t>
      </w:r>
      <w:r>
        <w:t xml:space="preserve">: Varianzas respectivas.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median_of_diffs</w:t>
      </w:r>
      <w:r>
        <w:t xml:space="preserve">: Mediana de las diferencias absolutas entre medias de muestra.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MADe</w:t>
      </w:r>
      <w:r>
        <w:t xml:space="preserve">: Estimación robusta de sigma (</w:t>
      </w:r>
      <m:oMath>
        <m:r>
          <m:t>1.483</m:t>
        </m:r>
        <m:r>
          <m:rPr>
            <m:sty m:val="p"/>
          </m:rPr>
          <m:t>×</m:t>
        </m:r>
        <m:r>
          <m:t>m</m:t>
        </m:r>
        <m:r>
          <m:t>e</m:t>
        </m:r>
        <m:r>
          <m:t>d</m:t>
        </m:r>
        <m:r>
          <m:t>i</m:t>
        </m:r>
        <m:r>
          <m:t>a</m:t>
        </m:r>
        <m:r>
          <m:t>n</m:t>
        </m:r>
        <m:r>
          <m:rPr>
            <m:sty m:val="p"/>
          </m:rPr>
          <m:t>_</m:t>
        </m:r>
        <m:r>
          <m:t>o</m:t>
        </m:r>
        <m:r>
          <m:t>f</m:t>
        </m:r>
        <m:r>
          <m:rPr>
            <m:sty m:val="p"/>
          </m:rPr>
          <m:t>_</m:t>
        </m:r>
        <m:r>
          <m:t>d</m:t>
        </m:r>
        <m:r>
          <m:t>i</m:t>
        </m:r>
        <m:r>
          <m:t>f</m:t>
        </m:r>
        <m:r>
          <m:t>f</m:t>
        </m:r>
        <m:r>
          <m:t>s</m:t>
        </m:r>
      </m:oMath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sigma_pt</w:t>
      </w:r>
      <w:r>
        <w:t xml:space="preserve">: Desviación estándar para evaluación de aptitud (igual a MADe).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u_sigma_pt</w:t>
      </w:r>
      <w:r>
        <w:t xml:space="preserve">: Incertidumbre de sigma_pt (</w:t>
      </w:r>
      <m:oMath>
        <m:r>
          <m:t>M</m:t>
        </m:r>
        <m:r>
          <m:t>A</m:t>
        </m:r>
        <m:r>
          <m:t>D</m:t>
        </m:r>
        <m:r>
          <m:t>e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g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).</w:t>
      </w:r>
    </w:p>
    <w:bookmarkEnd w:id="12"/>
    <w:bookmarkStart w:id="15" w:name="cálculos-estadísticos"/>
    <w:p>
      <w:pPr>
        <w:pStyle w:val="Heading3"/>
      </w:pPr>
      <w:r>
        <w:t xml:space="preserve">4.2 Cálculos Estadísticos</w:t>
      </w:r>
    </w:p>
    <w:bookmarkStart w:id="13" w:name="X1360eb5cf2097ca37f0976c27bee2726bc37b2f"/>
    <w:p>
      <w:pPr>
        <w:pStyle w:val="Heading4"/>
      </w:pPr>
      <w:r>
        <w:t xml:space="preserve">Desviación Estándar Dentro de las Muestras (</w:t>
      </w:r>
      <m:oMath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Para el caso típico de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réplicas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g</m:t>
                  </m:r>
                </m:den>
              </m:f>
            </m:e>
          </m:rad>
        </m:oMath>
      </m:oMathPara>
    </w:p>
    <w:p>
      <w:pPr>
        <w:pStyle w:val="FirstParagraph"/>
      </w:pPr>
      <w:r>
        <w:rPr>
          <w:i/>
          <w:iCs/>
        </w:rPr>
        <w:t xml:space="preserve">Nota: Esto también puede expresarse utilizando el rango</w:t>
      </w:r>
      <w:r>
        <w:rPr>
          <w:i/>
          <w:iCs/>
        </w:rP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t>2</m:t>
            </m:r>
          </m:sub>
        </m:sSub>
        <m:r>
          <m:rPr>
            <m:sty m:val="p"/>
          </m:rPr>
          <m:t>|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como</w:t>
      </w:r>
      <w:r>
        <w:rPr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∑</m:t>
            </m:r>
            <m:sSubSup>
              <m:e>
                <m:r>
                  <m:t>w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/</m:t>
            </m:r>
            <m:r>
              <m:t>2</m:t>
            </m:r>
            <m:r>
              <m:t>g</m:t>
            </m:r>
          </m:e>
        </m:rad>
      </m:oMath>
      <w:r>
        <w:rPr>
          <w:i/>
          <w:iCs/>
        </w:rPr>
        <w:t xml:space="preserve">.</w:t>
      </w:r>
    </w:p>
    <w:p>
      <w:pPr>
        <w:pStyle w:val="BodyText"/>
      </w:pPr>
      <w:r>
        <w:t xml:space="preserve">Para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réplicas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g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g</m:t>
              </m:r>
            </m:sup>
            <m:e>
              <m:sSubSup>
                <m:e>
                  <m:r>
                    <m:t>s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Sup>
          <m:e>
            <m:r>
              <m:t>s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es la varianza de las réplicas para la muestra</w:t>
      </w:r>
      <w:r>
        <w:t xml:space="preserve"> </w:t>
      </w:r>
      <m:oMath>
        <m:r>
          <m:t>i</m:t>
        </m:r>
      </m:oMath>
      <w:r>
        <w:t xml:space="preserve">.</w:t>
      </w:r>
    </w:p>
    <w:bookmarkEnd w:id="13"/>
    <w:bookmarkStart w:id="14" w:name="desviación-estándar-entre-muestras-s_s"/>
    <w:p>
      <w:pPr>
        <w:pStyle w:val="Heading4"/>
      </w:pPr>
      <w:r>
        <w:t xml:space="preserve">Desviación Estándar Entre Muestras (</w:t>
      </w:r>
      <m:oMath>
        <m:sSub>
          <m:e>
            <m:r>
              <m:t>s</m:t>
            </m:r>
          </m:e>
          <m:sub>
            <m:r>
              <m:t>s</m:t>
            </m:r>
          </m:sub>
        </m:sSub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s</m:t>
                  </m:r>
                </m:e>
                <m: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m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Sup>
          <m:e>
            <m:r>
              <m:t>s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  <m:sup>
            <m:r>
              <m:t>2</m:t>
            </m:r>
          </m:sup>
        </m:sSubSup>
      </m:oMath>
      <w:r>
        <w:t xml:space="preserve"> </w:t>
      </w:r>
      <w:r>
        <w:t xml:space="preserve">es la varianza de las medias de las muestras. La resta de</w:t>
      </w:r>
      <w:r>
        <w:t xml:space="preserve"> </w:t>
      </w:r>
      <m:oMath>
        <m:sSubSup>
          <m:e>
            <m:r>
              <m:t>s</m:t>
            </m:r>
          </m:e>
          <m:sub>
            <m:r>
              <m:t>w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elimina la contribución del ruido de medición de la variación observada entre muestras.</w:t>
      </w:r>
    </w:p>
    <w:bookmarkEnd w:id="14"/>
    <w:bookmarkEnd w:id="15"/>
    <w:bookmarkStart w:id="16" w:name="construcción-de-la-tabla-anova"/>
    <w:p>
      <w:pPr>
        <w:pStyle w:val="Heading3"/>
      </w:pPr>
      <w:r>
        <w:t xml:space="preserve">4.3 Construcción de la Tabla ANOVA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Grados de Libertad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Suma de Cuadrados (SS)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de Cuadrados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Entre Muestras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g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Dentro de Muestras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g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g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Relación con las estadísticas ISO: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s</m:t>
            </m:r>
          </m:e>
          <m:sub>
            <m:r>
              <m:t>w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M</m:t>
        </m:r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s</m:t>
            </m:r>
          </m:e>
          <m:sub>
            <m:r>
              <m:t>s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M</m:t>
            </m:r>
            <m:sSub>
              <m:e>
                <m:r>
                  <m:t>S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−</m:t>
            </m:r>
            <m:r>
              <m:t>M</m:t>
            </m:r>
            <m:sSub>
              <m:e>
                <m:r>
                  <m:t>S</m:t>
                </m:r>
              </m:e>
              <m:sub>
                <m:r>
                  <m:t>W</m:t>
                </m:r>
              </m:sub>
            </m:sSub>
          </m:num>
          <m:den>
            <m:r>
              <m:t>m</m:t>
            </m:r>
          </m:den>
        </m:f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criterios-de-aceptación"/>
    <w:p>
      <w:pPr>
        <w:pStyle w:val="Heading2"/>
      </w:pPr>
      <w:r>
        <w:t xml:space="preserve">5. Criterios de Aceptación</w:t>
      </w:r>
    </w:p>
    <w:bookmarkStart w:id="18" w:name="estimación-de-sigma_pt-made"/>
    <w:p>
      <w:pPr>
        <w:pStyle w:val="Heading3"/>
      </w:pPr>
      <w:r>
        <w:t xml:space="preserve">5.1 Estimación de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 </w:t>
      </w:r>
      <w:r>
        <w:t xml:space="preserve">(MADe)</w:t>
      </w:r>
    </w:p>
    <w:p>
      <w:pPr>
        <w:pStyle w:val="FirstParagraph"/>
      </w:pPr>
      <w:r>
        <w:t xml:space="preserve">La desviación estándar para evaluación de aptitud se calcula mediante una estimación robusta: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MADe</m:t>
          </m:r>
          <m:r>
            <m:rPr>
              <m:sty m:val="p"/>
            </m:rPr>
            <m:t>=</m:t>
          </m:r>
          <m:r>
            <m:t>1.483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mediana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nor/>
              <m:sty m:val="p"/>
            </m:rPr>
            <m:t>mediana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son las medias de las muestras. Esta estimación es robusta a valores atípicos.</w:t>
      </w:r>
    </w:p>
    <w:p>
      <w:pPr>
        <w:pStyle w:val="BodyText"/>
      </w:pPr>
      <w:r>
        <w:rPr>
          <w:b/>
          <w:bCs/>
        </w:rPr>
        <w:t xml:space="preserve">Incertidumbre de</w:t>
      </w:r>
      <w:r>
        <w:rPr>
          <w:b/>
          <w:bCs/>
        </w:rP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1.25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g</m:t>
                  </m:r>
                </m:e>
              </m:rad>
            </m:den>
          </m:f>
        </m:oMath>
      </m:oMathPara>
    </w:p>
    <w:bookmarkEnd w:id="18"/>
    <w:bookmarkStart w:id="19" w:name="criterio-básico-c"/>
    <w:p>
      <w:pPr>
        <w:pStyle w:val="Heading3"/>
      </w:pPr>
      <w:r>
        <w:t xml:space="preserve">5.2 Criterio Básico (</w:t>
      </w:r>
      <m:oMath>
        <m:r>
          <m:t>c</m:t>
        </m:r>
      </m:oMath>
      <w:r>
        <w:t xml:space="preserve">)</w:t>
      </w:r>
    </w:p>
    <w:p>
      <w:pPr>
        <w:pStyle w:val="FirstParagraph"/>
      </w:pPr>
      <w:r>
        <w:t xml:space="preserve">El material se considera suficientemente homogéneo si: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≤</m:t>
          </m:r>
          <m:r>
            <m:t>c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b>
            <m:e>
              <m:r>
                <m:t>σ</m:t>
              </m:r>
            </m:e>
            <m:sub>
              <m:r>
                <m:t>p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### 5.3 Criterio Expandido (</w:t>
      </w:r>
      <m:oMath>
        <m:sSub>
          <m:e>
            <m:r>
              <m:t>c</m:t>
            </m:r>
          </m:e>
          <m:sub>
            <m:r>
              <m:t>e</m:t>
            </m:r>
            <m:r>
              <m:t>x</m:t>
            </m:r>
            <m:r>
              <m:t>p</m:t>
            </m:r>
          </m:sub>
        </m:sSub>
      </m:oMath>
      <w:r>
        <w:t xml:space="preserve">)</w:t>
      </w:r>
      <w:r>
        <w:t xml:space="preserve"> </w:t>
      </w:r>
      <w:r>
        <w:t xml:space="preserve">Si no se cumple el criterio básico, se utiliza un criterio expandido según ISO 13528:2022, Sección 9.2.4: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e</m:t>
              </m:r>
              <m:r>
                <m:t>x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0.3</m:t>
          </m:r>
          <m:r>
            <m:rPr>
              <m:sty m:val="p"/>
            </m:rPr>
            <m:t>×</m:t>
          </m:r>
          <m:sSub>
            <m:e>
              <m:r>
                <m:t>σ</m:t>
              </m:r>
            </m:e>
            <m:sub>
              <m:r>
                <m:t>p</m:t>
              </m:r>
              <m:r>
                <m:t>t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×</m:t>
          </m:r>
          <m:sSubSup>
            <m:e>
              <m:r>
                <m:t>s</m:t>
              </m:r>
            </m:e>
            <m:sub>
              <m:r>
                <m:t>w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son coeficientes que dependen del número de muestras</w:t>
      </w:r>
      <w:r>
        <w:t xml:space="preserve"> </w:t>
      </w:r>
      <m:oMath>
        <m:r>
          <m:t>g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 (muestras)</w:t>
            </w:r>
          </w:p>
        </w:tc>
        <w:tc>
          <w:tcPr/>
          <w:p>
            <w:pPr>
              <w:pStyle w:val="Compact"/>
            </w:pPr>
            <w:r>
              <w:t xml:space="preserve">F₁</w:t>
            </w:r>
          </w:p>
        </w:tc>
        <w:tc>
          <w:tcPr/>
          <w:p>
            <w:pPr>
              <w:pStyle w:val="Compact"/>
            </w:pPr>
            <w:r>
              <w:t xml:space="preserve">F₂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2.10</w:t>
            </w:r>
          </w:p>
        </w:tc>
        <w:tc>
          <w:tcPr/>
          <w:p>
            <w:pPr>
              <w:pStyle w:val="Compact"/>
            </w:pPr>
            <w:r>
              <w:t xml:space="preserve">1.43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2.01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1.94</w:t>
            </w:r>
          </w:p>
        </w:tc>
        <w:tc>
          <w:tcPr/>
          <w:p>
            <w:pPr>
              <w:pStyle w:val="Compact"/>
            </w:pPr>
            <w:r>
              <w:t xml:space="preserve">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1.88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1.83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1.79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1.75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1.72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1.69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1.64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1.62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1.60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1.59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Para valores de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fuera del rango [7, 20], se usa clamping a los extremos del rango.</w:t>
      </w:r>
    </w:p>
    <w:bookmarkEnd w:id="19"/>
    <w:bookmarkStart w:id="20" w:name="método-alternativo-niqr"/>
    <w:p>
      <w:pPr>
        <w:pStyle w:val="Heading3"/>
      </w:pPr>
      <w:r>
        <w:t xml:space="preserve">5.4 Método Alternativo: nIQR</w:t>
      </w:r>
    </w:p>
    <w:p>
      <w:pPr>
        <w:pStyle w:val="FirstParagraph"/>
      </w:pPr>
      <w:r>
        <w:t xml:space="preserve">Como alternativa a MADe, se puede utilizar el método nIQR (Normalized Interquartile Range):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nIQR</m:t>
          </m:r>
          <m:r>
            <m:rPr>
              <m:sty m:val="p"/>
            </m:rPr>
            <m:t>=</m:t>
          </m:r>
          <m:r>
            <m:t>0.7413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son los cuartiles 25% y 75% de los valores de la primera réplica.</w:t>
      </w:r>
    </w:p>
    <w:p>
      <w:pPr>
        <w:pStyle w:val="BodyText"/>
      </w:pPr>
      <w:r>
        <w:t xml:space="preserve">Este método proporciona una estimación robusta alternativa de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 </w:t>
      </w:r>
      <w:r>
        <w:t xml:space="preserve">y se implementa junto con MADe para comparar ambos enfoques. El aplicativo calcula dos conjuntos de criterios (básico y expandido) usando tanto MADe como nIQR.</w:t>
      </w:r>
    </w:p>
    <w:bookmarkEnd w:id="20"/>
    <w:bookmarkStart w:id="21" w:name="árbol-de-decisión"/>
    <w:p>
      <w:pPr>
        <w:pStyle w:val="Heading3"/>
      </w:pPr>
      <w:r>
        <w:t xml:space="preserve">5.5 Árbol de Decisión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START[Calcular ss y c] --&gt; COMPARE{¿ss &lt;= c?}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COMPARE -- Sí --&gt; PASS1["PASA: Se cumple el criterio de homogeneidad&lt;br/&gt;(El material es homogéneo)"]</w:t>
      </w:r>
      <w:r>
        <w:br/>
      </w:r>
      <w:r>
        <w:rPr>
          <w:rStyle w:val="VerbatimChar"/>
        </w:rPr>
        <w:t xml:space="preserve">    COMPARE -- No --&gt; EXPANDED{¿ss &lt;= c_exp?}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EXPANDED -- Sí --&gt; PASS2["PASA: Se cumple el criterio expandido&lt;br/&gt;(Aceptable con incertidumbre)"]</w:t>
      </w:r>
      <w:r>
        <w:br/>
      </w:r>
      <w:r>
        <w:rPr>
          <w:rStyle w:val="VerbatimChar"/>
        </w:rPr>
        <w:t xml:space="preserve">    EXPANDED -- No --&gt; FAIL["FALLA: No se cumplen los criterios&lt;br/&gt;(Investigar heterogeneidad)"]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PASS1 --&gt; UNCERTAINTY[u_hom = ss]</w:t>
      </w:r>
      <w:r>
        <w:br/>
      </w:r>
      <w:r>
        <w:rPr>
          <w:rStyle w:val="VerbatimChar"/>
        </w:rPr>
        <w:t xml:space="preserve">    PASS2 --&gt; UNCERTAINTY</w:t>
      </w:r>
      <w:r>
        <w:br/>
      </w:r>
      <w:r>
        <w:rPr>
          <w:rStyle w:val="VerbatimChar"/>
        </w:rPr>
        <w:t xml:space="preserve">    FAIL --&gt; ACTION[Considerar: Aumentar sigma_pt, Rechazar lote o Investigar causa]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PASS1 fill:#c8e6c9</w:t>
      </w:r>
      <w:r>
        <w:br/>
      </w:r>
      <w:r>
        <w:rPr>
          <w:rStyle w:val="VerbatimChar"/>
        </w:rPr>
        <w:t xml:space="preserve">    style PASS2 fill:#fff9c4</w:t>
      </w:r>
      <w:r>
        <w:br/>
      </w:r>
      <w:r>
        <w:rPr>
          <w:rStyle w:val="VerbatimChar"/>
        </w:rPr>
        <w:t xml:space="preserve">    style FAIL fill:#ffcdd2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evaluación-de-estabilidad"/>
    <w:p>
      <w:pPr>
        <w:pStyle w:val="Heading2"/>
      </w:pPr>
      <w:r>
        <w:t xml:space="preserve">6. Evaluación de Estabilidad</w:t>
      </w:r>
    </w:p>
    <w:bookmarkStart w:id="23" w:name="funciones-1"/>
    <w:p>
      <w:pPr>
        <w:pStyle w:val="Heading3"/>
      </w:pPr>
      <w:r>
        <w:t xml:space="preserve">6.1 Funciones</w:t>
      </w:r>
    </w:p>
    <w:p>
      <w:pPr>
        <w:pStyle w:val="FirstParagraph"/>
      </w:pPr>
      <w:r>
        <w:rPr>
          <w:rStyle w:val="VerbatimChar"/>
        </w:rPr>
        <w:t xml:space="preserve">calculate_stability_stats(stab_sample_data, hom_general_mean_homog, hom_stab_x_pt, hom_stab_sigma_pt)</w:t>
      </w:r>
    </w:p>
    <w:p>
      <w:pPr>
        <w:pStyle w:val="BodyText"/>
      </w:pPr>
      <w:r>
        <w:t xml:space="preserve">Esta función compara los resultados del estudio de estabilidad con la línea base del estudio de homogeneidad.</w:t>
      </w:r>
    </w:p>
    <w:p>
      <w:pPr>
        <w:pStyle w:val="BodyText"/>
      </w:pPr>
      <w:r>
        <w:rPr>
          <w:b/>
          <w:bCs/>
        </w:rPr>
        <w:t xml:space="preserve">Parámetros: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stab_sample_data</w:t>
      </w:r>
      <w:r>
        <w:t xml:space="preserve">: Matriz de datos de estabilidad (muestras como filas, réplicas como columnas)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hom_general_mean_homog</w:t>
      </w:r>
      <w:r>
        <w:t xml:space="preserve">: Media general del estudio de homogeneidad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hom_stab_x_pt</w:t>
      </w:r>
      <w:r>
        <w:t xml:space="preserve">: Valor asignado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 </w:t>
      </w:r>
      <w:r>
        <w:t xml:space="preserve">del estudio de homogeneidad (mediana de primera réplica)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hom_stab_sigma_pt</w:t>
      </w:r>
      <w:r>
        <w:t xml:space="preserve">: Desviación estándar del estudio de homogeneidad (MADe o nIQR)</w:t>
      </w:r>
    </w:p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La función de estabilidad NO calcula su propio</w:t>
      </w:r>
      <w:r>
        <w:t xml:space="preserve"> </w:t>
      </w:r>
      <w:r>
        <w:rPr>
          <w:rStyle w:val="VerbatimChar"/>
        </w:rPr>
        <w:t xml:space="preserve">x_pt</w:t>
      </w:r>
      <w:r>
        <w:t xml:space="preserve">. Utiliza el valor</w:t>
      </w:r>
      <w:r>
        <w:t xml:space="preserve"> </w:t>
      </w:r>
      <w:r>
        <w:rPr>
          <w:rStyle w:val="VerbatimChar"/>
        </w:rPr>
        <w:t xml:space="preserve">hom_stab_x_pt</w:t>
      </w:r>
      <w:r>
        <w:t xml:space="preserve"> </w:t>
      </w:r>
      <w:r>
        <w:t xml:space="preserve">recibido del estudio de homogeneidad como el valor asignado (</w:t>
      </w:r>
      <m:oMath>
        <m:sSub>
          <m:e>
            <m:r>
              <m:t>x</m:t>
            </m:r>
          </m:e>
          <m:sub>
            <m:r>
              <m:t>p</m:t>
            </m:r>
            <m:r>
              <m:t>t</m:t>
            </m:r>
          </m:sub>
        </m:sSub>
      </m:oMath>
      <w:r>
        <w:t xml:space="preserve">) para todos los cálculos que lo requieran.</w:t>
      </w:r>
    </w:p>
    <w:p>
      <w:pPr>
        <w:pStyle w:val="BodyText"/>
      </w:pPr>
      <w:r>
        <w:t xml:space="preserve">La función de estabilidad calcula únicamente: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general_mean</w:t>
      </w:r>
      <w:r>
        <w:t xml:space="preserve">: Media general de TODOS los valores de estabilidad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diff_hom_stab</w:t>
      </w:r>
      <w:r>
        <w:t xml:space="preserve">: Diferencia absoluta entre medias de estabilidad y homogeneidad</w:t>
      </w:r>
    </w:p>
    <w:p>
      <w:pPr>
        <w:pStyle w:val="BodyText"/>
      </w:pPr>
      <w:r>
        <w:t xml:space="preserve">Todos los demás componentes (</w:t>
      </w:r>
      <w:r>
        <w:rPr>
          <w:rStyle w:val="VerbatimChar"/>
        </w:rPr>
        <w:t xml:space="preserve">sw</w:t>
      </w:r>
      <w:r>
        <w:t xml:space="preserve">,</w:t>
      </w:r>
      <w:r>
        <w:t xml:space="preserve"> </w:t>
      </w:r>
      <w:r>
        <w:rPr>
          <w:rStyle w:val="VerbatimChar"/>
        </w:rPr>
        <w:t xml:space="preserve">ss</w:t>
      </w:r>
      <w:r>
        <w:t xml:space="preserve">,</w:t>
      </w:r>
      <w:r>
        <w:t xml:space="preserve"> </w:t>
      </w:r>
      <w:r>
        <w:rPr>
          <w:rStyle w:val="VerbatimChar"/>
        </w:rPr>
        <w:t xml:space="preserve">x_pt</w:t>
      </w:r>
      <w:r>
        <w:t xml:space="preserve">,</w:t>
      </w:r>
      <w:r>
        <w:t xml:space="preserve"> </w:t>
      </w:r>
      <w:r>
        <w:rPr>
          <w:rStyle w:val="VerbatimChar"/>
        </w:rPr>
        <w:t xml:space="preserve">sigma_pt</w:t>
      </w:r>
      <w:r>
        <w:t xml:space="preserve">) se obtienen del estudio de homogeneidad.</w:t>
      </w:r>
    </w:p>
    <w:bookmarkEnd w:id="23"/>
    <w:bookmarkStart w:id="24" w:name="diferencia-de-estabilidad-d"/>
    <w:p>
      <w:pPr>
        <w:pStyle w:val="Heading3"/>
      </w:pPr>
      <w:r>
        <w:t xml:space="preserve">6.2 Diferencia de Estabilidad (</w:t>
      </w:r>
      <m:oMath>
        <m:r>
          <m:t>D</m:t>
        </m:r>
      </m:oMath>
      <w:r>
        <w:t xml:space="preserve">)</w:t>
      </w:r>
    </w:p>
    <w:p>
      <w:pPr>
        <w:pStyle w:val="FirstParagraph"/>
      </w:pPr>
      <w:r>
        <w:t xml:space="preserve">La métrica principal es la diferencia absoluta entre la media general de homogeneidad (</w:t>
      </w:r>
      <m:oMath>
        <m:sSub>
          <m:e>
            <m:acc>
              <m:accPr>
                <m:chr m:val="‾"/>
              </m:accPr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</m:acc>
          </m:e>
          <m:sub>
            <m:r>
              <m:t>h</m:t>
            </m:r>
            <m:r>
              <m:t>o</m:t>
            </m:r>
            <m:r>
              <m:t>m</m:t>
            </m:r>
          </m:sub>
        </m:sSub>
      </m:oMath>
      <w:r>
        <w:t xml:space="preserve">) y la media general de estabilidad (</w:t>
      </w:r>
      <m:oMath>
        <m:sSub>
          <m:e>
            <m:acc>
              <m:accPr>
                <m:chr m:val="‾"/>
              </m:accPr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</m:acc>
          </m:e>
          <m:sub>
            <m:r>
              <m:t>s</m:t>
            </m:r>
            <m:r>
              <m:t>t</m:t>
            </m:r>
            <m:r>
              <m:t>a</m:t>
            </m:r>
            <m:r>
              <m:t>b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acc>
                <m:accPr>
                  <m:chr m:val="‾"/>
                </m:acc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  <m:sub>
              <m:r>
                <m:t>h</m:t>
              </m:r>
              <m:r>
                <m:t>o</m:t>
              </m:r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|</m:t>
          </m:r>
        </m:oMath>
      </m:oMathPara>
    </w:p>
    <w:bookmarkEnd w:id="24"/>
    <w:bookmarkStart w:id="25" w:name="criterios-de-estabilidad"/>
    <w:p>
      <w:pPr>
        <w:pStyle w:val="Heading3"/>
      </w:pPr>
      <w:r>
        <w:t xml:space="preserve">6.3 Criterios de Estabilidad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Básico</w:t>
      </w:r>
      <w:r>
        <w:t xml:space="preserve">: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0.3</m:t>
        </m:r>
        <m:r>
          <m:rPr>
            <m:sty m:val="p"/>
          </m:rPr>
          <m:t>×</m:t>
        </m:r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</m:oMath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Expandido</w:t>
      </w:r>
      <w:r>
        <w:t xml:space="preserve">: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×</m:t>
        </m:r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sSubSup>
              <m:e>
                <m:r>
                  <m:t>u</m:t>
                </m:r>
              </m:e>
              <m:sub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h</m:t>
                    </m:r>
                    <m:r>
                      <m:t>o</m:t>
                    </m:r>
                    <m:r>
                      <m:t>m</m:t>
                    </m:r>
                  </m:sub>
                </m:sSub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u</m:t>
                </m:r>
              </m:e>
              <m:sub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a</m:t>
                    </m:r>
                    <m:r>
                      <m:t>b</m:t>
                    </m:r>
                  </m:sub>
                </m:sSub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Donde</w:t>
      </w:r>
      <w:r>
        <w:t xml:space="preserve"> </w:t>
      </w:r>
      <m:oMath>
        <m:sSub>
          <m:e>
            <m:r>
              <m:t>u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g</m:t>
            </m:r>
            <m:r>
              <m:rPr>
                <m:sty m:val="p"/>
              </m:rPr>
              <m:t>⋅</m:t>
            </m:r>
            <m:r>
              <m:t>m</m:t>
            </m:r>
          </m:e>
        </m:rad>
      </m:oMath>
      <w:r>
        <w:t xml:space="preserve"> </w:t>
      </w:r>
      <w:r>
        <w:t xml:space="preserve">es la incertidumbre estándar de la media.</w:t>
      </w:r>
    </w:p>
    <w:bookmarkEnd w:id="25"/>
    <w:bookmarkStart w:id="26" w:name="prueba-t-para-estabilidad"/>
    <w:p>
      <w:pPr>
        <w:pStyle w:val="Heading3"/>
      </w:pPr>
      <w:r>
        <w:t xml:space="preserve">6.4 Prueba t para Estabilidad</w:t>
      </w:r>
    </w:p>
    <w:p>
      <w:pPr>
        <w:pStyle w:val="FirstParagraph"/>
      </w:pPr>
      <w:r>
        <w:t xml:space="preserve">Para determinar si la diferencia es estadísticamente significativa (incluso si pasa el criterio de 0.3):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‾"/>
                    </m:acc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  <m:sub>
                  <m:r>
                    <m:t>h</m:t>
                  </m:r>
                  <m:r>
                    <m:t>o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u</m:t>
                      </m:r>
                    </m:e>
                    <m:sub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h</m:t>
                          </m:r>
                          <m:r>
                            <m:t>o</m:t>
                          </m:r>
                          <m:r>
                            <m:t>m</m:t>
                          </m:r>
                        </m:sub>
                      </m:sSub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u</m:t>
                      </m:r>
                    </m:e>
                    <m:sub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  <m:r>
                            <m:t>a</m:t>
                          </m:r>
                          <m:r>
                            <m:t>b</m:t>
                          </m:r>
                        </m:sub>
                      </m:sSub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Interpretación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Diferencia no significativa (estable)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Posible deriva, se recomienda investigación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Deriva significativa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contribuciones-a-la-incertidumbre"/>
    <w:p>
      <w:pPr>
        <w:pStyle w:val="Heading2"/>
      </w:pPr>
      <w:r>
        <w:t xml:space="preserve">7. Contribuciones a la Incertidumbre</w:t>
      </w:r>
    </w:p>
    <w:p>
      <w:pPr>
        <w:pStyle w:val="FirstParagraph"/>
      </w:pPr>
      <w:r>
        <w:t xml:space="preserve">Los componentes de incertidumbre de homogeneidad y estabilidad se combinan en la incertidumbre definitiva del valor asignado (</w:t>
      </w:r>
      <m:oMath>
        <m:sSub>
          <m:e>
            <m:r>
              <m:t>u</m:t>
            </m:r>
          </m:e>
          <m:sub>
            <m:r>
              <m:t>x</m:t>
            </m:r>
            <m:r>
              <m:t>p</m:t>
            </m:r>
            <m:r>
              <m:t>t</m:t>
            </m:r>
            <m:r>
              <m:rPr>
                <m:sty m:val="p"/>
              </m:rPr>
              <m:t>,</m:t>
            </m:r>
            <m:r>
              <m:t>d</m:t>
            </m:r>
            <m:r>
              <m:t>e</m:t>
            </m:r>
            <m:r>
              <m:t>f</m:t>
            </m:r>
          </m:sub>
        </m:sSub>
      </m:oMath>
      <w:r>
        <w:t xml:space="preserve">).</w:t>
      </w:r>
    </w:p>
    <w:bookmarkStart w:id="28" w:name="incertidumbre-de-homogeneidad-u_hom"/>
    <w:p>
      <w:pPr>
        <w:pStyle w:val="Heading3"/>
      </w:pPr>
      <w:r>
        <w:t xml:space="preserve">7.1 Incertidumbre de Homogeneidad (</w:t>
      </w:r>
      <m:oMath>
        <m:sSub>
          <m:e>
            <m:r>
              <m:t>u</m:t>
            </m:r>
          </m:e>
          <m:sub>
            <m:r>
              <m:t>h</m:t>
            </m:r>
            <m:r>
              <m:t>o</m:t>
            </m:r>
            <m:r>
              <m:t>m</m:t>
            </m:r>
          </m:sub>
        </m:sSub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h</m:t>
              </m:r>
              <m:r>
                <m:t>o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s</m:t>
              </m:r>
            </m:sub>
          </m:sSub>
        </m:oMath>
      </m:oMathPara>
    </w:p>
    <w:p>
      <w:pPr>
        <w:pStyle w:val="FirstParagraph"/>
      </w:pPr>
      <w:r>
        <w:rPr>
          <w:i/>
          <w:iCs/>
        </w:rPr>
        <w:t xml:space="preserve">Nota: Si</w:t>
      </w:r>
      <w:r>
        <w:rPr>
          <w:i/>
          <w:iCs/>
        </w:rPr>
        <w:t xml:space="preserve"> </w:t>
      </w:r>
      <m:oMath>
        <m:sSubSup>
          <m:e>
            <m:r>
              <m:t>s</m:t>
            </m:r>
          </m:e>
          <m:sub>
            <m:r>
              <m:t>s</m:t>
            </m:r>
          </m:sub>
          <m:sup>
            <m:r>
              <m:t>2</m:t>
            </m:r>
          </m:sup>
        </m:sSubSup>
        <m:r>
          <m:rPr>
            <m:sty m:val="p"/>
          </m:rPr>
          <m:t>&lt;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y se estableció en 0,</w:t>
      </w:r>
      <w:r>
        <w:rPr>
          <w:i/>
          <w:iCs/>
        </w:rPr>
        <w:t xml:space="preserve"> </w:t>
      </w:r>
      <m:oMath>
        <m:sSub>
          <m:e>
            <m:r>
              <m:t>u</m:t>
            </m:r>
          </m:e>
          <m:sub>
            <m:r>
              <m:t>h</m:t>
            </m:r>
            <m:r>
              <m:t>o</m:t>
            </m:r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</w:p>
    <w:bookmarkEnd w:id="28"/>
    <w:bookmarkStart w:id="29" w:name="incertidumbre-de-estabilidad-u_stab"/>
    <w:p>
      <w:pPr>
        <w:pStyle w:val="Heading3"/>
      </w:pPr>
      <w:r>
        <w:t xml:space="preserve">7.2 Incertidumbre de Estabilidad (</w:t>
      </w:r>
      <m:oMath>
        <m:sSub>
          <m:e>
            <m:r>
              <m:t>u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b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Asume una distribución rectangular si la diferencia es mayor que el criterio: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0.3</m:t>
                    </m:r>
                    <m:r>
                      <m:rPr>
                        <m:sty m:val="p"/>
                      </m:rPr>
                      <m:t>×</m:t>
                    </m:r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p</m:t>
                        </m:r>
                        <m:r>
                          <m:t>t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r>
                      <m:t>D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0.3</m:t>
                    </m:r>
                    <m:r>
                      <m:rPr>
                        <m:sty m:val="p"/>
                      </m:rPr>
                      <m:t>×</m:t>
                    </m:r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p</m:t>
                        </m:r>
                        <m:r>
                          <m:t>t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9"/>
    <w:bookmarkStart w:id="30" w:name="incertidumbre-combinada"/>
    <w:p>
      <w:pPr>
        <w:pStyle w:val="Heading3"/>
      </w:pPr>
      <w:r>
        <w:t xml:space="preserve">7.3 Incertidumbre Combinada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x</m:t>
              </m:r>
              <m:r>
                <m:t>p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u</m:t>
                  </m:r>
                </m:e>
                <m:sub>
                  <m:r>
                    <m:t>x</m:t>
                  </m:r>
                  <m:r>
                    <m:t>p</m:t>
                  </m:r>
                  <m:r>
                    <m:t>t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m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u</m:t>
            </m:r>
          </m:e>
          <m:sub>
            <m:r>
              <m:t>x</m:t>
            </m:r>
            <m:r>
              <m:t>p</m:t>
            </m:r>
            <m:r>
              <m:t>t</m:t>
            </m:r>
          </m:sub>
        </m:sSub>
      </m:oMath>
      <w:r>
        <w:t xml:space="preserve"> </w:t>
      </w:r>
      <w:r>
        <w:t xml:space="preserve">es la incertidumbre del método de caracterización (ej., Algoritmo A).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lujo-de-datos-en-el-aplicativo"/>
    <w:p>
      <w:pPr>
        <w:pStyle w:val="Heading2"/>
      </w:pPr>
      <w:r>
        <w:t xml:space="preserve">8. Flujo de Datos en el Aplicativo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Entrada</w:t>
      </w:r>
      <w:r>
        <w:br/>
      </w:r>
      <w:r>
        <w:rPr>
          <w:rStyle w:val="VerbatimChar"/>
        </w:rPr>
        <w:t xml:space="preserve">        A[homogeneity.csv] --&gt; B[matriz sample_data]</w:t>
      </w:r>
      <w:r>
        <w:br/>
      </w:r>
      <w:r>
        <w:rPr>
          <w:rStyle w:val="VerbatimChar"/>
        </w:rPr>
        <w:t xml:space="preserve">        C[stability.csv] --&gt; D[matriz stab_sample_data]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Modulo_Homogeneidad</w:t>
      </w:r>
      <w:r>
        <w:br/>
      </w:r>
      <w:r>
        <w:rPr>
          <w:rStyle w:val="VerbatimChar"/>
        </w:rPr>
        <w:t xml:space="preserve">        B --&gt; E[calculate_homogeneity_stats]</w:t>
      </w:r>
      <w:r>
        <w:br/>
      </w:r>
      <w:r>
        <w:rPr>
          <w:rStyle w:val="VerbatimChar"/>
        </w:rPr>
        <w:t xml:space="preserve">        E --&gt; F[ss, sw, media_general]</w:t>
      </w:r>
      <w:r>
        <w:br/>
      </w:r>
      <w:r>
        <w:rPr>
          <w:rStyle w:val="VerbatimChar"/>
        </w:rPr>
        <w:t xml:space="preserve">        F --&gt; G[calculate_homogeneity_criterion]</w:t>
      </w:r>
      <w:r>
        <w:br/>
      </w:r>
      <w:r>
        <w:rPr>
          <w:rStyle w:val="VerbatimChar"/>
        </w:rPr>
        <w:t xml:space="preserve">        G --&gt; H[evaluate_homogeneity]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Modulo_Estabilidad</w:t>
      </w:r>
      <w:r>
        <w:br/>
      </w:r>
      <w:r>
        <w:rPr>
          <w:rStyle w:val="VerbatimChar"/>
        </w:rPr>
        <w:t xml:space="preserve">        D --&gt; I[calculate_stability_stats]</w:t>
      </w:r>
      <w:r>
        <w:br/>
      </w:r>
      <w:r>
        <w:rPr>
          <w:rStyle w:val="VerbatimChar"/>
        </w:rPr>
        <w:t xml:space="preserve">        F --&gt; I</w:t>
      </w:r>
      <w:r>
        <w:br/>
      </w:r>
      <w:r>
        <w:rPr>
          <w:rStyle w:val="VerbatimChar"/>
        </w:rPr>
        <w:t xml:space="preserve">        I --&gt; J[diff_hom_stab]</w:t>
      </w:r>
      <w:r>
        <w:br/>
      </w:r>
      <w:r>
        <w:rPr>
          <w:rStyle w:val="VerbatimChar"/>
        </w:rPr>
        <w:t xml:space="preserve">        J --&gt; K[evaluate_stability]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Motor_Incertidumbre</w:t>
      </w:r>
      <w:r>
        <w:br/>
      </w:r>
      <w:r>
        <w:rPr>
          <w:rStyle w:val="VerbatimChar"/>
        </w:rPr>
        <w:t xml:space="preserve">        F --&gt; L[calculate_u_hom]</w:t>
      </w:r>
      <w:r>
        <w:br/>
      </w:r>
      <w:r>
        <w:rPr>
          <w:rStyle w:val="VerbatimChar"/>
        </w:rPr>
        <w:t xml:space="preserve">        J --&gt; M[calculate_u_stab]</w:t>
      </w:r>
      <w:r>
        <w:br/>
      </w:r>
      <w:r>
        <w:rPr>
          <w:rStyle w:val="VerbatimChar"/>
        </w:rPr>
        <w:t xml:space="preserve">        L --&gt; N[u_hom]</w:t>
      </w:r>
      <w:r>
        <w:br/>
      </w:r>
      <w:r>
        <w:rPr>
          <w:rStyle w:val="VerbatimChar"/>
        </w:rPr>
        <w:t xml:space="preserve">        M --&gt; O[u_stab]</w:t>
      </w:r>
      <w:r>
        <w:br/>
      </w:r>
      <w:r>
        <w:rPr>
          <w:rStyle w:val="VerbatimChar"/>
        </w:rPr>
        <w:t xml:space="preserve">        N &amp; O --&gt; P[u_xpt_def]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32"/>
    <w:bookmarkStart w:id="35" w:name="ejemplo-numérico-so2-en-ppm"/>
    <w:p>
      <w:pPr>
        <w:pStyle w:val="Heading2"/>
      </w:pPr>
      <w:r>
        <w:t xml:space="preserve">9. Ejemplo Numérico: SO2 en ppm</w:t>
      </w:r>
    </w:p>
    <w:bookmarkStart w:id="33" w:name="X1cb505f056d4a3069cc433f016d6fabfde1a5e1"/>
    <w:p>
      <w:pPr>
        <w:pStyle w:val="Heading3"/>
      </w:pPr>
      <w:r>
        <w:t xml:space="preserve">9.1 Datos de Homogeneidad (10 muestras, 2 réplicas)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Muestra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 (</w:t>
            </w: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0.0003</w:t>
            </w:r>
          </w:p>
        </w:tc>
      </w:tr>
    </w:tbl>
    <w:p>
      <w:pPr>
        <w:pStyle w:val="BodyText"/>
      </w:pPr>
      <w:r>
        <w:rPr>
          <w:b/>
          <w:bCs/>
        </w:rPr>
        <w:t xml:space="preserve">Cálculos: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Media General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0.0526</m:t>
        </m:r>
      </m:oMath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 dentro de muestras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∑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20</m:t>
                </m:r>
              </m:den>
            </m:f>
          </m:e>
        </m:rad>
        <m:r>
          <m:rPr>
            <m:sty m:val="p"/>
          </m:rPr>
          <m:t>=</m:t>
        </m:r>
        <m:r>
          <m:t>0.000245</m:t>
        </m:r>
      </m:oMath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Varianza de Medias</w:t>
      </w:r>
      <w:r>
        <w:t xml:space="preserve">:</w:t>
      </w:r>
      <w:r>
        <w:t xml:space="preserve"> </w:t>
      </w:r>
      <m:oMath>
        <m:sSubSup>
          <m:e>
            <m:r>
              <m:t>s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0.0000000278</m:t>
        </m:r>
      </m:oMath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DE entre muestras</w:t>
      </w:r>
      <w:r>
        <w:t xml:space="preserve">:</w:t>
      </w:r>
      <w:r>
        <w:t xml:space="preserve"> </w:t>
      </w:r>
      <m:oMath>
        <m:sSubSup>
          <m:e>
            <m:r>
              <m:t>s</m:t>
            </m:r>
          </m:e>
          <m:sub>
            <m:r>
              <m:t>s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0.0000000278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0.000245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0.0000000022</m:t>
        </m:r>
      </m:oMath>
      <w:r>
        <w:t xml:space="preserve"> </w:t>
      </w:r>
      <w:r>
        <w:t xml:space="preserve">Como es negativo,</w:t>
      </w:r>
      <w:r>
        <w:t xml:space="preserve"> </w:t>
      </w:r>
      <m:oMath>
        <m:sSub>
          <m:e>
            <m:r>
              <m:t>s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Evaluación (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0.005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×</m:t>
        </m:r>
        <m:r>
          <m:t>0.005</m:t>
        </m:r>
        <m:r>
          <m:rPr>
            <m:sty m:val="p"/>
          </m:rPr>
          <m:t>=</m:t>
        </m:r>
        <m:r>
          <m:t>0.0015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0.0015</m:t>
        </m:r>
        <m:r>
          <m:rPr>
            <m:sty m:val="p"/>
          </m:rPr>
          <m:t>⟹</m:t>
        </m:r>
      </m:oMath>
      <w:r>
        <w:t xml:space="preserve"> </w:t>
      </w:r>
      <w:r>
        <w:rPr>
          <w:b/>
          <w:bCs/>
        </w:rPr>
        <w:t xml:space="preserve">PASA</w:t>
      </w:r>
      <w:r>
        <w:t xml:space="preserve"> </w:t>
      </w:r>
      <w:r>
        <w:t xml:space="preserve">(Homogéneo).</w:t>
      </w:r>
    </w:p>
    <w:bookmarkEnd w:id="33"/>
    <w:bookmarkStart w:id="34" w:name="Xb17b7193b8041924aa402b02f871fbd4b011a12"/>
    <w:p>
      <w:pPr>
        <w:pStyle w:val="Heading3"/>
      </w:pPr>
      <w:r>
        <w:t xml:space="preserve">9.2 Datos de Estabilidad (3 muestras después de 30 días)</w:t>
      </w:r>
    </w:p>
    <w:p>
      <w:pPr>
        <w:pStyle w:val="Compact"/>
        <w:numPr>
          <w:ilvl w:val="0"/>
          <w:numId w:val="1003"/>
        </w:numPr>
      </w:pPr>
      <m:oMath>
        <m:sSub>
          <m:e>
            <m:acc>
              <m:accPr>
                <m:chr m:val="‾"/>
              </m:accPr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</m:acc>
          </m:e>
          <m:sub>
            <m:r>
              <m:t>h</m:t>
            </m:r>
            <m:r>
              <m:t>o</m:t>
            </m:r>
            <m:r>
              <m:t>m</m:t>
            </m:r>
          </m:sub>
        </m:sSub>
        <m:r>
          <m:rPr>
            <m:sty m:val="p"/>
          </m:rPr>
          <m:t>=</m:t>
        </m:r>
        <m:r>
          <m:t>0.0526</m:t>
        </m:r>
      </m:oMath>
    </w:p>
    <w:p>
      <w:pPr>
        <w:pStyle w:val="Compact"/>
        <w:numPr>
          <w:ilvl w:val="0"/>
          <w:numId w:val="1003"/>
        </w:numPr>
      </w:pPr>
      <m:oMath>
        <m:sSub>
          <m:e>
            <m:acc>
              <m:accPr>
                <m:chr m:val="‾"/>
              </m:accPr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</m:acc>
          </m:e>
          <m:sub>
            <m:r>
              <m:t>s</m:t>
            </m:r>
            <m:r>
              <m:t>t</m:t>
            </m:r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0.0527</m:t>
        </m:r>
      </m:oMath>
    </w:p>
    <w:p>
      <w:pPr>
        <w:pStyle w:val="Compact"/>
        <w:numPr>
          <w:ilvl w:val="0"/>
          <w:numId w:val="1003"/>
        </w:numPr>
      </w:pP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0.0526</m:t>
        </m:r>
        <m:r>
          <m:rPr>
            <m:sty m:val="p"/>
          </m:rPr>
          <m:t>−</m:t>
        </m:r>
        <m:r>
          <m:t>0.0527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0.0001</m:t>
        </m:r>
      </m:oMath>
    </w:p>
    <w:p>
      <w:pPr>
        <w:pStyle w:val="FirstParagraph"/>
      </w:pPr>
      <w:r>
        <w:rPr>
          <w:b/>
          <w:bCs/>
        </w:rPr>
        <w:t xml:space="preserve">Evaluación:</w:t>
      </w:r>
      <w:r>
        <w:t xml:space="preserve"> </w:t>
      </w:r>
      <w:r>
        <w:t xml:space="preserve">-</w:t>
      </w:r>
      <w:r>
        <w:t xml:space="preserve"> </w:t>
      </w:r>
      <m:oMath>
        <m:r>
          <m:t>0.0001</m:t>
        </m:r>
        <m:r>
          <m:rPr>
            <m:sty m:val="p"/>
          </m:rPr>
          <m:t>≤</m:t>
        </m:r>
        <m:r>
          <m:t>0.0015</m:t>
        </m:r>
        <m:r>
          <m:rPr>
            <m:sty m:val="p"/>
          </m:rPr>
          <m:t>⟹</m:t>
        </m:r>
      </m:oMath>
      <w:r>
        <w:t xml:space="preserve"> </w:t>
      </w:r>
      <w:r>
        <w:rPr>
          <w:b/>
          <w:bCs/>
        </w:rPr>
        <w:t xml:space="preserve">PASA</w:t>
      </w:r>
      <w:r>
        <w:t xml:space="preserve"> </w:t>
      </w:r>
      <w:r>
        <w:t xml:space="preserve">(Estable).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mplementación-en-código-r"/>
    <w:p>
      <w:pPr>
        <w:pStyle w:val="Heading2"/>
      </w:pPr>
      <w:r>
        <w:t xml:space="preserve">10. Implementación en Código (R)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(ptcalc)</w:t>
      </w:r>
      <w:r>
        <w:br/>
      </w:r>
      <w:r>
        <w:br/>
      </w:r>
      <w:r>
        <w:rPr>
          <w:rStyle w:val="CommentTok"/>
        </w:rPr>
        <w:t xml:space="preserve"># Cargar datos</w:t>
      </w:r>
      <w:r>
        <w:br/>
      </w:r>
      <w:r>
        <w:rPr>
          <w:rStyle w:val="NormalTok"/>
        </w:rPr>
        <w:t xml:space="preserve">hom_data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19.70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19.72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19.68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19.69</w:t>
      </w:r>
      <w:r>
        <w:rPr>
          <w:rStyle w:val="NormalTok"/>
        </w:rPr>
        <w:t xml:space="preserve">, ...),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1. Homogeneidad (sigma_pt se calcula internamente desde MADe)</w:t>
      </w:r>
      <w:r>
        <w:br/>
      </w:r>
      <w:r>
        <w:rPr>
          <w:rStyle w:val="NormalTok"/>
        </w:rPr>
        <w:t xml:space="preserve">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calculate_homogeneity_stats</w:t>
      </w:r>
      <w:r>
        <w:rPr>
          <w:rStyle w:val="NormalTok"/>
        </w:rPr>
        <w:t xml:space="preserve">(hom_data)</w:t>
      </w:r>
      <w:r>
        <w:br/>
      </w:r>
      <w:r>
        <w:rPr>
          <w:rStyle w:val="NormalTok"/>
        </w:rPr>
        <w:t xml:space="preserve"> c_crit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calculate_homogeneity_criterion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sigma_pt)</w:t>
      </w:r>
      <w:r>
        <w:br/>
      </w:r>
      <w:r>
        <w:rPr>
          <w:rStyle w:val="NormalTok"/>
        </w:rPr>
        <w:t xml:space="preserve"> c_exp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calculate_homogeneity_criterion_expanded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sigma_pt, 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sw, 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g)</w:t>
      </w:r>
      <w:r>
        <w:br/>
      </w:r>
      <w:r>
        <w:rPr>
          <w:rStyle w:val="NormalTok"/>
        </w:rPr>
        <w:t xml:space="preserve"> 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evaluate_homogeneity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ss, c_crit, c_exp)</w:t>
      </w:r>
      <w:r>
        <w:br/>
      </w:r>
      <w:r>
        <w:br/>
      </w:r>
      <w:r>
        <w:rPr>
          <w:rStyle w:val="CommentTok"/>
        </w:rPr>
        <w:t xml:space="preserve"># 2. Estabilidad</w:t>
      </w:r>
      <w:r>
        <w:br/>
      </w:r>
      <w:r>
        <w:rPr>
          <w:rStyle w:val="NormalTok"/>
        </w:rPr>
        <w:t xml:space="preserve">stab_stats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calculate_stability_stats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stab_data,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general_mean_homog,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x_pt,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sigma_pt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stab_eval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evaluate_stability</w:t>
      </w:r>
      <w:r>
        <w:rPr>
          <w:rStyle w:val="NormalTok"/>
        </w:rPr>
        <w:t xml:space="preserve">(stab_stats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diff_hom_stab, c_crit)</w:t>
      </w:r>
      <w:r>
        <w:br/>
      </w:r>
      <w:r>
        <w:br/>
      </w:r>
      <w:r>
        <w:rPr>
          <w:rStyle w:val="CommentTok"/>
        </w:rPr>
        <w:t xml:space="preserve"># 3. Incertidumbre</w:t>
      </w:r>
      <w:r>
        <w:br/>
      </w:r>
      <w:r>
        <w:rPr>
          <w:rStyle w:val="NormalTok"/>
        </w:rPr>
        <w:t xml:space="preserve">u_hom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calculate_u_hom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ss)</w:t>
      </w:r>
      <w:r>
        <w:br/>
      </w:r>
      <w:r>
        <w:rPr>
          <w:rStyle w:val="NormalTok"/>
        </w:rPr>
        <w:t xml:space="preserve">u_stab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calculate_u_stab</w:t>
      </w:r>
      <w:r>
        <w:rPr>
          <w:rStyle w:val="NormalTok"/>
        </w:rPr>
        <w:t xml:space="preserve">(stab_stats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diff_hom_stab, c_crit)</w:t>
      </w:r>
    </w:p>
    <w:p>
      <w:pPr>
        <w:pStyle w:val="FirstParagraph"/>
      </w:pPr>
      <w:r>
        <w:rPr>
          <w:b/>
          <w:bCs/>
        </w:rPr>
        <w:t xml:space="preserve">Nuevos valores disponibles: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stats$x_pt</w:t>
      </w:r>
      <w:r>
        <w:t xml:space="preserve">: Mediana de la primera réplica (valor asignado estimado)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stats$MADe</w:t>
      </w:r>
      <w:r>
        <w:t xml:space="preserve">: Estimación robusta de sigma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stats$nIQR</w:t>
      </w:r>
      <w:r>
        <w:t xml:space="preserve">: Estimación robusta alternativa de sigma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stats$sigma_pt</w:t>
      </w:r>
      <w:r>
        <w:t xml:space="preserve">: Desviación estándar para PT (igual a MADe o nIQR)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stats$u_sigma_pt</w:t>
      </w:r>
      <w:r>
        <w:t xml:space="preserve">: Incertidumbre de sigma_pt</w:t>
      </w:r>
    </w:p>
    <w:p>
      <w:r>
        <w:pict>
          <v:rect style="width:0;height:1.5pt" o:hralign="center" o:hrstd="t" o:hr="t"/>
        </w:pict>
      </w:r>
    </w:p>
    <w:bookmarkEnd w:id="36"/>
    <w:bookmarkStart w:id="37" w:name="casos-límite-y-errores"/>
    <w:p>
      <w:pPr>
        <w:pStyle w:val="Heading2"/>
      </w:pPr>
      <w:r>
        <w:t xml:space="preserve">11. Casos Límite y Errores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Manejo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 2 Muestras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calculate_homogeneity_stats</w:t>
            </w:r>
            <w:r>
              <w:t xml:space="preserve"> </w:t>
            </w:r>
            <w:r>
              <w:t xml:space="preserve">arroja error:</w:t>
            </w:r>
            <w:r>
              <w:t xml:space="preserve"> </w:t>
            </w:r>
            <w:r>
              <w:t xml:space="preserve">“At least 2 samples required”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 2 Réplicas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calculate_homogeneity_stats</w:t>
            </w:r>
            <w:r>
              <w:t xml:space="preserve"> </w:t>
            </w:r>
            <w:r>
              <w:t xml:space="preserve">arroja error:</w:t>
            </w:r>
            <w:r>
              <w:t xml:space="preserve"> </w:t>
            </w:r>
            <w:r>
              <w:t xml:space="preserve">“At least 2 replicates required”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s</m:t>
                  </m:r>
                </m:e>
                <m:sub>
                  <m:r>
                    <m:t>s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 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 ocurre cuando la variación observada entre medias es menor de lo esperado por el ruido de medición. El aplicativo establece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según las directrices de ISO 13528.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referencias"/>
    <w:p>
      <w:pPr>
        <w:pStyle w:val="Heading2"/>
      </w:pPr>
      <w:r>
        <w:t xml:space="preserve">12. Referencias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 13528:2022</w:t>
      </w:r>
      <w:r>
        <w:t xml:space="preserve">: Métodos estadísticos para uso en ensayos de aptitud por comparación interlaboratorio.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Guía ISO 35:2017</w:t>
      </w:r>
      <w:r>
        <w:t xml:space="preserve">: Materiales de referencia — Guía para la caracterización y evaluación de la homogeneidad y estabilidad.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ISO/IEC 17043:2023</w:t>
      </w:r>
      <w:r>
        <w:t xml:space="preserve">: Evaluación de la conformidad — Requisitos generales para los ensayos de aptitud.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2026-01-29T03:50:30Z</dcterms:created>
  <dcterms:modified xsi:type="dcterms:W3CDTF">2026-01-29T03:50:30Z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