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módulo-shiny-homogeneidad-y-estabilidad"/>
    <w:p>
      <w:pPr>
        <w:pStyle w:val="Heading1"/>
      </w:pPr>
      <w:r>
        <w:t xml:space="preserve">Módulo Shiny: Homogeneidad y Estabilidad</w:t>
      </w:r>
    </w:p>
    <w:bookmarkStart w:id="9" w:name="descripción-general"/>
    <w:p>
      <w:pPr>
        <w:pStyle w:val="Heading2"/>
      </w:pPr>
      <w:r>
        <w:t xml:space="preserve">Descripción General</w:t>
      </w:r>
    </w:p>
    <w:p>
      <w:pPr>
        <w:pStyle w:val="FirstParagraph"/>
      </w:pPr>
      <w:r>
        <w:t xml:space="preserve">Este módulo implementa la interfaz de usuario y la lógica reactiva para la evaluación de la homogeneidad y estabilidad del ítem de ensayo, siguiendo los lineamientos de la norma</w:t>
      </w:r>
      <w:r>
        <w:t xml:space="preserve"> </w:t>
      </w:r>
      <w:r>
        <w:rPr>
          <w:b/>
          <w:bCs/>
        </w:rPr>
        <w:t xml:space="preserve">ISO 13528:2022</w:t>
      </w:r>
      <w:r>
        <w:t xml:space="preserve">. Permite verificar que los materiales distribuidos a los participantes sean suficientemente homogéneos y estables para garantizar la validez del ensayo de aptitud (PT).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Líneas (Lógica)</w:t>
            </w:r>
          </w:p>
        </w:tc>
        <w:tc>
          <w:tcPr/>
          <w:p>
            <w:pPr>
              <w:pStyle w:val="Compact"/>
            </w:pPr>
            <w:r>
              <w:t xml:space="preserve">239 - 558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Líneas (UI)</w:t>
            </w:r>
          </w:p>
        </w:tc>
        <w:tc>
          <w:tcPr/>
          <w:p>
            <w:pPr>
              <w:pStyle w:val="Compact"/>
            </w:pPr>
            <w:r>
              <w:t xml:space="preserve">762 - 857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Líneas (Algoritmo A)</w:t>
            </w:r>
          </w:p>
        </w:tc>
        <w:tc>
          <w:tcPr/>
          <w:p>
            <w:pPr>
              <w:pStyle w:val="Compact"/>
            </w:pPr>
            <w:r>
              <w:t xml:space="preserve">642 - 690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Dependencias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ptcalc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hom_data_full()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stab_data_full()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analysis_trigger()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 de Referencia</w:t>
            </w:r>
          </w:p>
        </w:tc>
        <w:tc>
          <w:tcPr/>
          <w:p>
            <w:pPr>
              <w:pStyle w:val="Compact"/>
            </w:pPr>
            <w:r>
              <w:t xml:space="preserve">ISO 13528:2022 Sección 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mapa-de-componentes-ui"/>
    <w:p>
      <w:pPr>
        <w:pStyle w:val="Heading2"/>
      </w:pPr>
      <w:r>
        <w:t xml:space="preserve">Mapa de Componentes UI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42"/>
        <w:gridCol w:w="1494"/>
        <w:gridCol w:w="1643"/>
        <w:gridCol w:w="896"/>
        <w:gridCol w:w="19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 UI</w:t>
            </w:r>
          </w:p>
        </w:tc>
        <w:tc>
          <w:tcPr/>
          <w:p>
            <w:pPr>
              <w:pStyle w:val="Compact"/>
            </w:pPr>
            <w:r>
              <w:t xml:space="preserve">Input ID</w:t>
            </w:r>
          </w:p>
        </w:tc>
        <w:tc>
          <w:tcPr/>
          <w:p>
            <w:pPr>
              <w:pStyle w:val="Compact"/>
            </w:pPr>
            <w:r>
              <w:t xml:space="preserve">Output ID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Botón Ejecutar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run_analysis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actionButton</w:t>
            </w:r>
          </w:p>
        </w:tc>
        <w:tc>
          <w:tcPr/>
          <w:p>
            <w:pPr>
              <w:pStyle w:val="Compact"/>
            </w:pPr>
            <w:r>
              <w:t xml:space="preserve">Dispara el cálculo de homogeneidad.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Selector Analito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pollutant_analysis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pollutant_selector_analysis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selectInput</w:t>
            </w:r>
          </w:p>
        </w:tc>
        <w:tc>
          <w:tcPr/>
          <w:p>
            <w:pPr>
              <w:pStyle w:val="Compact"/>
            </w:pPr>
            <w:r>
              <w:t xml:space="preserve">Filtra por contaminante (SO2, CO, O3, etc.).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Selector Nivel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target_level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level_selector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selectInput</w:t>
            </w:r>
          </w:p>
        </w:tc>
        <w:tc>
          <w:tcPr/>
          <w:p>
            <w:pPr>
              <w:pStyle w:val="Compact"/>
            </w:pPr>
            <w:r>
              <w:t xml:space="preserve">Filtra por nivel de concentración.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Conclusión Homog.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homog_conclusion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uiOutput</w:t>
            </w:r>
          </w:p>
        </w:tc>
        <w:tc>
          <w:tcPr/>
          <w:p>
            <w:pPr>
              <w:pStyle w:val="Compact"/>
            </w:pPr>
            <w:r>
              <w:t xml:space="preserve">Alerta colorizada con el resultado del criterio.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Boton Estabilidad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run_stability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actionButton</w:t>
            </w:r>
          </w:p>
        </w:tc>
        <w:tc>
          <w:tcPr/>
          <w:p>
            <w:pPr>
              <w:pStyle w:val="Compact"/>
            </w:pPr>
            <w:r>
              <w:t xml:space="preserve">Dispara el análisis de estabilidad.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Conclusión Stab.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homog_conclusion_stability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uiOutput</w:t>
            </w:r>
          </w:p>
        </w:tc>
        <w:tc>
          <w:tcPr/>
          <w:p>
            <w:pPr>
              <w:pStyle w:val="Compact"/>
            </w:pPr>
            <w:r>
              <w:t xml:space="preserve">Alerta con el resultado de estabilidad.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Tabla ANOVA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variance_components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tableOutput</w:t>
            </w:r>
          </w:p>
        </w:tc>
        <w:tc>
          <w:tcPr/>
          <w:p>
            <w:pPr>
              <w:pStyle w:val="Compact"/>
            </w:pPr>
            <w:r>
              <w:t xml:space="preserve">Componentes de varianza (ss, sw) y criterios.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Estadísticos Robustos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robust_stats_table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tableOutput</w:t>
            </w:r>
          </w:p>
        </w:tc>
        <w:tc>
          <w:tcPr/>
          <w:p>
            <w:pPr>
              <w:pStyle w:val="Compact"/>
            </w:pPr>
            <w:r>
              <w:t xml:space="preserve">Mediana, MADe, nIQR.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Detalles por ítem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details_per_item_table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tableOutput</w:t>
            </w:r>
          </w:p>
        </w:tc>
        <w:tc>
          <w:tcPr/>
          <w:p>
            <w:pPr>
              <w:pStyle w:val="Compact"/>
            </w:pPr>
            <w:r>
              <w:t xml:space="preserve">Promedio y rango por cada ítem evaluado.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Tabla u_hom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u_hom_table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dataTableOutput</w:t>
            </w:r>
          </w:p>
        </w:tc>
        <w:tc>
          <w:tcPr/>
          <w:p>
            <w:pPr>
              <w:pStyle w:val="Compact"/>
            </w:pPr>
            <w:r>
              <w:t xml:space="preserve">Incertidumbre por homogeneidad.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Tabla u_stab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u_stab_table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dataTableOutput</w:t>
            </w:r>
          </w:p>
        </w:tc>
        <w:tc>
          <w:tcPr/>
          <w:p>
            <w:pPr>
              <w:pStyle w:val="Compact"/>
            </w:pPr>
            <w:r>
              <w:t xml:space="preserve">Incertidumbre por estabilidad.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Algoritmo A (Iter)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algoA_max_iter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numericInput</w:t>
            </w:r>
          </w:p>
        </w:tc>
        <w:tc>
          <w:tcPr/>
          <w:p>
            <w:pPr>
              <w:pStyle w:val="Compact"/>
            </w:pPr>
            <w:r>
              <w:t xml:space="preserve">Máximo de iteraciones para Algoritmo 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Botón Algoritmo 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algoA_run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actionButton</w:t>
            </w:r>
          </w:p>
        </w:tc>
        <w:tc>
          <w:tcPr/>
          <w:p>
            <w:pPr>
              <w:pStyle w:val="Compact"/>
            </w:pPr>
            <w:r>
              <w:t xml:space="preserve">Ejecuta el Algoritmo A sobre los datos.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Resultados Algo 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algoA_result_summary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tableOutput</w:t>
            </w:r>
          </w:p>
        </w:tc>
        <w:tc>
          <w:tcPr/>
          <w:p>
            <w:pPr>
              <w:pStyle w:val="Compact"/>
            </w:pPr>
            <w:r>
              <w:t xml:space="preserve">Resumen de resultados del Algoritmo 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Histograma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results_histogram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plotlyOutput</w:t>
            </w:r>
          </w:p>
        </w:tc>
        <w:tc>
          <w:tcPr/>
          <w:p>
            <w:pPr>
              <w:pStyle w:val="Compact"/>
            </w:pPr>
            <w:r>
              <w:t xml:space="preserve">Distribución de los resultados.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Diagrama de Caja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results_boxplot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plotlyOutput</w:t>
            </w:r>
          </w:p>
        </w:tc>
        <w:tc>
          <w:tcPr/>
          <w:p>
            <w:pPr>
              <w:pStyle w:val="Compact"/>
            </w:pPr>
            <w:r>
              <w:t xml:space="preserve">Variabilidad por nivel.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3" w:name="flujo-de-datos-y-lógica-reactiva"/>
    <w:p>
      <w:pPr>
        <w:pStyle w:val="Heading2"/>
      </w:pPr>
      <w:r>
        <w:t xml:space="preserve">Flujo de Datos y Lógica Reactiva</w:t>
      </w:r>
    </w:p>
    <w:bookmarkStart w:id="11" w:name="diagrama-de-flujo"/>
    <w:p>
      <w:pPr>
        <w:pStyle w:val="Heading3"/>
      </w:pPr>
      <w:r>
        <w:t xml:space="preserve">Diagrama de Flujo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subgraph Entrada</w:t>
      </w:r>
      <w:r>
        <w:br/>
      </w:r>
      <w:r>
        <w:rPr>
          <w:rStyle w:val="VerbatimChar"/>
        </w:rPr>
        <w:t xml:space="preserve">        HOM[input$hom_file] --&gt; HOM_DATA[hom_data_full]</w:t>
      </w:r>
      <w:r>
        <w:br/>
      </w:r>
      <w:r>
        <w:rPr>
          <w:rStyle w:val="VerbatimChar"/>
        </w:rPr>
        <w:t xml:space="preserve">        STAB[input$stab_file] --&gt; STAB_DATA[stab_data_full]</w:t>
      </w:r>
      <w:r>
        <w:br/>
      </w:r>
      <w:r>
        <w:rPr>
          <w:rStyle w:val="VerbatimChar"/>
        </w:rPr>
        <w:t xml:space="preserve">        RUN[input$run_analysis] --&gt; TRIGGER[analysis_trigger]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Procesamiento</w:t>
      </w:r>
      <w:r>
        <w:br/>
      </w:r>
      <w:r>
        <w:rPr>
          <w:rStyle w:val="VerbatimChar"/>
        </w:rPr>
        <w:t xml:space="preserve">        HOM_DATA --&gt; RAW[raw_data]</w:t>
      </w:r>
      <w:r>
        <w:br/>
      </w:r>
      <w:r>
        <w:rPr>
          <w:rStyle w:val="VerbatimChar"/>
        </w:rPr>
        <w:t xml:space="preserve">        STAB_DATA --&gt; STAB_RAW[stability_data_raw]</w:t>
      </w:r>
      <w:r>
        <w:br/>
      </w:r>
      <w:r>
        <w:rPr>
          <w:rStyle w:val="VerbatimChar"/>
        </w:rPr>
        <w:t xml:space="preserve">        TRIGGER --&gt; HOM_RUN[homogeneity_run]</w:t>
      </w:r>
      <w:r>
        <w:br/>
      </w:r>
      <w:r>
        <w:rPr>
          <w:rStyle w:val="VerbatimChar"/>
        </w:rPr>
        <w:t xml:space="preserve">        RAW --&gt; HOM_RUN</w:t>
      </w:r>
      <w:r>
        <w:br/>
      </w:r>
      <w:r>
        <w:rPr>
          <w:rStyle w:val="VerbatimChar"/>
        </w:rPr>
        <w:t xml:space="preserve">        HOM_RUN --&gt; STAB_RUN[homogeneity_run_stability]</w:t>
      </w:r>
      <w:r>
        <w:br/>
      </w:r>
      <w:r>
        <w:rPr>
          <w:rStyle w:val="VerbatimChar"/>
        </w:rPr>
        <w:t xml:space="preserve">        STAB_RAW --&gt; STAB_RUN</w:t>
      </w:r>
      <w:r>
        <w:br/>
      </w:r>
      <w:r>
        <w:rPr>
          <w:rStyle w:val="VerbatimChar"/>
        </w:rPr>
        <w:t xml:space="preserve">        HOM_RUN --&gt; STABILITY[stability_run]</w:t>
      </w:r>
      <w:r>
        <w:br/>
      </w:r>
      <w:r>
        <w:rPr>
          <w:rStyle w:val="VerbatimChar"/>
        </w:rPr>
        <w:t xml:space="preserve">        STAB_RUN --&gt; STABILITY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Salida</w:t>
      </w:r>
      <w:r>
        <w:br/>
      </w:r>
      <w:r>
        <w:rPr>
          <w:rStyle w:val="VerbatimChar"/>
        </w:rPr>
        <w:t xml:space="preserve">        HOM_RUN --&gt; OUT_CONCL[output$homog_conclusion]</w:t>
      </w:r>
      <w:r>
        <w:br/>
      </w:r>
      <w:r>
        <w:rPr>
          <w:rStyle w:val="VerbatimChar"/>
        </w:rPr>
        <w:t xml:space="preserve">        HOM_RUN --&gt; OUT_VAR[output$variance_components]</w:t>
      </w:r>
      <w:r>
        <w:br/>
      </w:r>
      <w:r>
        <w:rPr>
          <w:rStyle w:val="VerbatimChar"/>
        </w:rPr>
        <w:t xml:space="preserve">        HOM_RUN --&gt; OUT_ROBUST[output$robust_stats_table]</w:t>
      </w:r>
      <w:r>
        <w:br/>
      </w:r>
      <w:r>
        <w:rPr>
          <w:rStyle w:val="VerbatimChar"/>
        </w:rPr>
        <w:t xml:space="preserve">        STAB_RUN --&gt; OUT_STAB[output$homog_conclusion_stability]</w:t>
      </w:r>
      <w:r>
        <w:br/>
      </w:r>
      <w:r>
        <w:rPr>
          <w:rStyle w:val="VerbatimChar"/>
        </w:rPr>
        <w:t xml:space="preserve">        STABILITY --&gt; OUT_TTEST[output$stability_ttest]</w:t>
      </w:r>
      <w:r>
        <w:br/>
      </w:r>
      <w:r>
        <w:rPr>
          <w:rStyle w:val="VerbatimChar"/>
        </w:rPr>
        <w:t xml:space="preserve">    end</w:t>
      </w:r>
    </w:p>
    <w:bookmarkEnd w:id="11"/>
    <w:bookmarkStart w:id="12" w:name="reactivos-principales"/>
    <w:p>
      <w:pPr>
        <w:pStyle w:val="Heading3"/>
      </w:pPr>
      <w:r>
        <w:t xml:space="preserve">Reactivos Principales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analysis_trigger()</w:t>
      </w:r>
      <w:r>
        <w:t xml:space="preserve">: Se activa cuando el usuario hace clic en el botón de ejecución. Invalida los resultados previos para forzar un nuevo cálculo.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homogeneity_run()</w:t>
      </w:r>
      <w:r>
        <w:t xml:space="preserve">: Depende de los selectores de analito/nivel y del trigger. Llama a</w:t>
      </w:r>
      <w:r>
        <w:t xml:space="preserve"> </w:t>
      </w:r>
      <w:r>
        <w:rPr>
          <w:rStyle w:val="VerbatimChar"/>
        </w:rPr>
        <w:t xml:space="preserve">compute_homogeneity_metrics()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stability_run()</w:t>
      </w:r>
      <w:r>
        <w:t xml:space="preserve">: Depende de que</w:t>
      </w:r>
      <w:r>
        <w:t xml:space="preserve"> </w:t>
      </w:r>
      <w:r>
        <w:rPr>
          <w:rStyle w:val="VerbatimChar"/>
        </w:rPr>
        <w:t xml:space="preserve">homogeneity_run()</w:t>
      </w:r>
      <w:r>
        <w:t xml:space="preserve"> </w:t>
      </w:r>
      <w:r>
        <w:t xml:space="preserve">se haya completado exitosamente. Evalúa la estabilidad comparando medias.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algoA_results_cache()</w:t>
      </w:r>
      <w:r>
        <w:t xml:space="preserve">: Almacena los resultados del Algoritmo A para evitar re-cálculos innecesarios. Se limpia si los datos de entrada cambian.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funciones-wrapper"/>
    <w:p>
      <w:pPr>
        <w:pStyle w:val="Heading2"/>
      </w:pPr>
      <w:r>
        <w:t xml:space="preserve">Funciones Wrapper</w:t>
      </w:r>
    </w:p>
    <w:bookmarkStart w:id="14" w:name="X5b583a113d01417331a232532d25f4a377a888a"/>
    <w:p>
      <w:pPr>
        <w:pStyle w:val="Heading3"/>
      </w:pPr>
      <w:r>
        <w:rPr>
          <w:rStyle w:val="VerbatimChar"/>
        </w:rPr>
        <w:t xml:space="preserve">compute_homogeneity_metrics(target_pollutant, target_level)</w:t>
      </w:r>
    </w:p>
    <w:p>
      <w:pPr>
        <w:pStyle w:val="FirstParagraph"/>
      </w:pPr>
      <w:r>
        <w:rPr>
          <w:b/>
          <w:bCs/>
        </w:rPr>
        <w:t xml:space="preserve">Propósito</w:t>
      </w:r>
      <w:r>
        <w:t xml:space="preserve">: Realiza el análisis completo de homogeneidad para un analito y nivel.</w:t>
      </w:r>
    </w:p>
    <w:p>
      <w:pPr>
        <w:pStyle w:val="BodyText"/>
      </w:pPr>
      <w:r>
        <w:rPr>
          <w:b/>
          <w:bCs/>
        </w:rPr>
        <w:t xml:space="preserve">Pasos</w:t>
      </w:r>
      <w:r>
        <w:t xml:space="preserve">:</w:t>
      </w:r>
      <w:r>
        <w:t xml:space="preserve"> </w:t>
      </w:r>
      <w:r>
        <w:t xml:space="preserve">1. Obtiene datos en formato ancho mediante</w:t>
      </w:r>
      <w:r>
        <w:t xml:space="preserve"> </w:t>
      </w:r>
      <w:r>
        <w:rPr>
          <w:rStyle w:val="VerbatimChar"/>
        </w:rPr>
        <w:t xml:space="preserve">get_wide_data()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Nota</w:t>
      </w:r>
      <w:r>
        <w:t xml:space="preserve">: La función maneja automáticamente la columna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si está presente en los datos, agrupando las mediciones por contaminante, nivel y corrida.</w:t>
      </w:r>
      <w:r>
        <w:t xml:space="preserve"> </w:t>
      </w:r>
      <w:r>
        <w:t xml:space="preserve">2. Calcula estadísticas descriptivas (mediana, MADe, nIQR).</w:t>
      </w:r>
      <w:r>
        <w:t xml:space="preserve"> </w:t>
      </w:r>
      <w:r>
        <w:t xml:space="preserve">3. Calcula componentes de varianza (ss, sw) mediante ANOVA.</w:t>
      </w:r>
      <w:r>
        <w:t xml:space="preserve"> </w:t>
      </w:r>
      <w:r>
        <w:t xml:space="preserve">4. Calcula estimación robusta de sigma_pt desde MADe y su incertidumbre.</w:t>
      </w:r>
      <w:r>
        <w:t xml:space="preserve"> </w:t>
      </w:r>
      <w:r>
        <w:t xml:space="preserve">5. Evalúa criterios:</w:t>
      </w:r>
      <w:r>
        <w:t xml:space="preserve"> </w:t>
      </w:r>
      <w:r>
        <w:t xml:space="preserve">* Criterio Crítico:</w:t>
      </w:r>
      <w:r>
        <w:t xml:space="preserve"> </w:t>
      </w:r>
      <m:oMath>
        <m:sSub>
          <m:e>
            <m:r>
              <m:t>s</m:t>
            </m:r>
          </m:e>
          <m:sub>
            <m:r>
              <m:t>s</m:t>
            </m:r>
          </m:sub>
        </m:sSub>
        <m:r>
          <m:rPr>
            <m:sty m:val="p"/>
          </m:rPr>
          <m:t>≤</m:t>
        </m:r>
        <m:r>
          <m:t>0.3</m:t>
        </m:r>
        <m:r>
          <m:rPr>
            <m:sty m:val="p"/>
          </m:rPr>
          <m:t>×</m:t>
        </m:r>
        <m:sSub>
          <m:e>
            <m:r>
              <m:t>σ</m:t>
            </m:r>
          </m:e>
          <m:sub>
            <m:r>
              <m:t>p</m:t>
            </m:r>
            <m:r>
              <m:t>t</m:t>
            </m:r>
          </m:sub>
        </m:sSub>
      </m:oMath>
      <w:r>
        <w:t xml:space="preserve"> </w:t>
      </w:r>
      <w:r>
        <w:t xml:space="preserve">* Criterio Expandido:</w:t>
      </w:r>
      <w:r>
        <w:t xml:space="preserve"> </w:t>
      </w:r>
      <m:oMath>
        <m:sSub>
          <m:e>
            <m:r>
              <m:t>s</m:t>
            </m:r>
          </m:e>
          <m:sub>
            <m:r>
              <m:t>s</m:t>
            </m:r>
          </m:sub>
        </m:sSub>
        <m:r>
          <m:rPr>
            <m:sty m:val="p"/>
          </m:rPr>
          <m:t>≤</m:t>
        </m:r>
        <m:r>
          <m:t>c</m:t>
        </m:r>
        <m:r>
          <m:rPr>
            <m:sty m:val="p"/>
          </m:rPr>
          <m:t>+</m:t>
        </m:r>
        <m:sSub>
          <m:e>
            <m:r>
              <m:t>u</m:t>
            </m:r>
          </m:e>
          <m:sub>
            <m:sSub>
              <m:e>
                <m:r>
                  <m:t>σ</m:t>
                </m:r>
              </m:e>
              <m:sub>
                <m:r>
                  <m:t>p</m:t>
                </m:r>
                <m:r>
                  <m:t>t</m:t>
                </m:r>
              </m:sub>
            </m:sSub>
          </m:sub>
        </m:sSub>
      </m:oMath>
      <w:r>
        <w:t xml:space="preserve"> </w:t>
      </w:r>
      <w:r>
        <w:t xml:space="preserve">6. Retorna una lista con resultados, conclusiones y clases CSS para la UI.</w:t>
      </w:r>
    </w:p>
    <w:p>
      <w:pPr>
        <w:pStyle w:val="BodyText"/>
      </w:pPr>
      <w:r>
        <w:rPr>
          <w:b/>
          <w:bCs/>
        </w:rPr>
        <w:t xml:space="preserve">Retorno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summary =</w:t>
      </w:r>
      <w:r>
        <w:rPr>
          <w:rStyle w:val="NormalTok"/>
        </w:rPr>
        <w:t xml:space="preserve"> hom_anova_summary,      </w:t>
      </w:r>
      <w:r>
        <w:rPr>
          <w:rStyle w:val="CommentTok"/>
        </w:rPr>
        <w:t xml:space="preserve"># Tabla ANOVA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ss =</w:t>
      </w:r>
      <w:r>
        <w:rPr>
          <w:rStyle w:val="NormalTok"/>
        </w:rPr>
        <w:t xml:space="preserve"> hom_ss,                      </w:t>
      </w:r>
      <w:r>
        <w:rPr>
          <w:rStyle w:val="CommentTok"/>
        </w:rPr>
        <w:t xml:space="preserve"># DE entre muestras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sw =</w:t>
      </w:r>
      <w:r>
        <w:rPr>
          <w:rStyle w:val="NormalTok"/>
        </w:rPr>
        <w:t xml:space="preserve"> hom_sw,                      </w:t>
      </w:r>
      <w:r>
        <w:rPr>
          <w:rStyle w:val="CommentTok"/>
        </w:rPr>
        <w:t xml:space="preserve"># DE dentro de la muestra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conclusion =</w:t>
      </w:r>
      <w:r>
        <w:rPr>
          <w:rStyle w:val="NormalTok"/>
        </w:rPr>
        <w:t xml:space="preserve"> hom_conclusion,      </w:t>
      </w:r>
      <w:r>
        <w:rPr>
          <w:rStyle w:val="CommentTok"/>
        </w:rPr>
        <w:t xml:space="preserve"># Texto HTML con resultado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conclusion_class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"alert-success|alert-warning"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 =</w:t>
      </w:r>
      <w:r>
        <w:rPr>
          <w:rStyle w:val="NormalTok"/>
        </w:rPr>
        <w:t xml:space="preserve"> g,                            </w:t>
      </w:r>
      <w:r>
        <w:rPr>
          <w:rStyle w:val="CommentTok"/>
        </w:rPr>
        <w:t xml:space="preserve"># Número de ítems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m,                            </w:t>
      </w:r>
      <w:r>
        <w:rPr>
          <w:rStyle w:val="CommentTok"/>
        </w:rPr>
        <w:t xml:space="preserve"># Número de réplicas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x_pt =</w:t>
      </w:r>
      <w:r>
        <w:rPr>
          <w:rStyle w:val="NormalTok"/>
        </w:rPr>
        <w:t xml:space="preserve"> x_pt,                      </w:t>
      </w:r>
      <w:r>
        <w:rPr>
          <w:rStyle w:val="CommentTok"/>
        </w:rPr>
        <w:t xml:space="preserve"># Mediana de primera réplica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sigma_pt =</w:t>
      </w:r>
      <w:r>
        <w:rPr>
          <w:rStyle w:val="NormalTok"/>
        </w:rPr>
        <w:t xml:space="preserve"> hom_sigma_pt,          </w:t>
      </w:r>
      <w:r>
        <w:rPr>
          <w:rStyle w:val="CommentTok"/>
        </w:rPr>
        <w:t xml:space="preserve"># MADe como sigma_pt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u_sigma_pt =</w:t>
      </w:r>
      <w:r>
        <w:rPr>
          <w:rStyle w:val="NormalTok"/>
        </w:rPr>
        <w:t xml:space="preserve"> u_sigma_pt,          </w:t>
      </w:r>
      <w:r>
        <w:rPr>
          <w:rStyle w:val="CommentTok"/>
        </w:rPr>
        <w:t xml:space="preserve"># Incertidumbre de sigma_pt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u_xpt =</w:t>
      </w:r>
      <w:r>
        <w:rPr>
          <w:rStyle w:val="NormalTok"/>
        </w:rPr>
        <w:t xml:space="preserve"> u_xpt,                    </w:t>
      </w:r>
      <w:r>
        <w:rPr>
          <w:rStyle w:val="CommentTok"/>
        </w:rPr>
        <w:t xml:space="preserve"># Incertidumbre del valor asignado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c_criterion =</w:t>
      </w:r>
      <w:r>
        <w:rPr>
          <w:rStyle w:val="NormalTok"/>
        </w:rPr>
        <w:t xml:space="preserve"> hom_c_criterion,    </w:t>
      </w:r>
      <w:r>
        <w:rPr>
          <w:rStyle w:val="CommentTok"/>
        </w:rPr>
        <w:t xml:space="preserve"># Criterio c = 0.3 * sigma_pt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c_criterion_expanded =</w:t>
      </w:r>
      <w:r>
        <w:rPr>
          <w:rStyle w:val="NormalTok"/>
        </w:rPr>
        <w:t xml:space="preserve"> hom_c_criterion_expanded</w:t>
      </w:r>
      <w:r>
        <w:br/>
      </w:r>
      <w:r>
        <w:rPr>
          <w:rStyle w:val="NormalTok"/>
        </w:rPr>
        <w:t xml:space="preserve">)</w:t>
      </w:r>
    </w:p>
    <w:bookmarkEnd w:id="14"/>
    <w:bookmarkStart w:id="15" w:name="X14d302173a1b3f73eecf430e9123372ec02c222"/>
    <w:p>
      <w:pPr>
        <w:pStyle w:val="Heading3"/>
      </w:pPr>
      <w:r>
        <w:rPr>
          <w:rStyle w:val="VerbatimChar"/>
        </w:rPr>
        <w:t xml:space="preserve">compute_stability_metrics(target_pollutant, target_level, hom_results)</w:t>
      </w:r>
    </w:p>
    <w:p>
      <w:pPr>
        <w:pStyle w:val="FirstParagraph"/>
      </w:pPr>
      <w:r>
        <w:rPr>
          <w:b/>
          <w:bCs/>
        </w:rPr>
        <w:t xml:space="preserve">Propósito</w:t>
      </w:r>
      <w:r>
        <w:t xml:space="preserve">: Evalúa la estabilidad comparando los resultados de homogeneidad con los de estabilidad.</w:t>
      </w:r>
    </w:p>
    <w:p>
      <w:pPr>
        <w:pStyle w:val="BodyText"/>
      </w:pPr>
      <w:r>
        <w:rPr>
          <w:b/>
          <w:bCs/>
        </w:rPr>
        <w:t xml:space="preserve">Cálculo Clave</w:t>
      </w:r>
      <w:r>
        <w:t xml:space="preserve">:</w:t>
      </w:r>
      <w:r>
        <w:t xml:space="preserve"> </w:t>
      </w:r>
      <w:r>
        <w:t xml:space="preserve">* Diferencia de medias:</w:t>
      </w:r>
      <w:r>
        <w:t xml:space="preserve"> </w:t>
      </w:r>
      <m:oMath>
        <m:r>
          <m:rPr>
            <m:sty m:val="p"/>
          </m:rPr>
          <m:t>|</m:t>
        </m:r>
        <m:r>
          <m:t>m</m:t>
        </m:r>
        <m:r>
          <m:t>e</m:t>
        </m:r>
        <m:r>
          <m:t>d</m:t>
        </m:r>
        <m:r>
          <m:t>i</m:t>
        </m:r>
        <m:sSub>
          <m:e>
            <m:r>
              <m:t>a</m:t>
            </m:r>
          </m:e>
          <m:sub>
            <m:r>
              <m:t>h</m:t>
            </m:r>
            <m:r>
              <m:t>o</m:t>
            </m:r>
            <m:r>
              <m:t>m</m:t>
            </m:r>
          </m:sub>
        </m:sSub>
        <m:r>
          <m:rPr>
            <m:sty m:val="p"/>
          </m:rPr>
          <m:t>−</m:t>
        </m:r>
        <m:r>
          <m:t>m</m:t>
        </m:r>
        <m:r>
          <m:t>e</m:t>
        </m:r>
        <m:r>
          <m:t>d</m:t>
        </m:r>
        <m:r>
          <m:t>i</m:t>
        </m:r>
        <m:sSub>
          <m:e>
            <m:r>
              <m:t>a</m:t>
            </m:r>
          </m:e>
          <m:sub>
            <m:r>
              <m:t>s</m:t>
            </m:r>
            <m:r>
              <m:t>t</m:t>
            </m:r>
            <m:r>
              <m:t>a</m:t>
            </m:r>
            <m:r>
              <m:t>b</m:t>
            </m:r>
          </m:sub>
        </m:sSub>
        <m:r>
          <m:rPr>
            <m:sty m:val="p"/>
          </m:rPr>
          <m:t>|</m:t>
        </m:r>
      </m:oMath>
      <w:r>
        <w:t xml:space="preserve"> </w:t>
      </w:r>
      <w:r>
        <w:t xml:space="preserve">* Incertidumbre por estabilidad:</w:t>
      </w:r>
      <w:r>
        <w:t xml:space="preserve"> </w:t>
      </w:r>
      <m:oMath>
        <m:sSub>
          <m:e>
            <m:r>
              <m:t>u</m:t>
            </m:r>
          </m:e>
          <m:sub>
            <m:r>
              <m:t>s</m:t>
            </m:r>
            <m:r>
              <m:t>t</m:t>
            </m:r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|</m:t>
            </m:r>
            <m:r>
              <m:t>m</m:t>
            </m:r>
            <m:r>
              <m:t>e</m:t>
            </m:r>
            <m:r>
              <m:t>d</m:t>
            </m:r>
            <m:r>
              <m:t>i</m:t>
            </m:r>
            <m:sSub>
              <m:e>
                <m:r>
                  <m:t>a</m:t>
                </m:r>
              </m:e>
              <m:sub>
                <m:r>
                  <m:t>h</m:t>
                </m:r>
                <m:r>
                  <m:t>o</m:t>
                </m:r>
                <m:r>
                  <m:t>m</m:t>
                </m:r>
              </m:sub>
            </m:sSub>
            <m:r>
              <m:rPr>
                <m:sty m:val="p"/>
              </m:rPr>
              <m:t>−</m:t>
            </m:r>
            <m:r>
              <m:t>m</m:t>
            </m:r>
            <m:r>
              <m:t>e</m:t>
            </m:r>
            <m:r>
              <m:t>d</m:t>
            </m:r>
            <m:r>
              <m:t>i</m:t>
            </m:r>
            <m:sSub>
              <m:e>
                <m:r>
                  <m:t>a</m:t>
                </m:r>
              </m:e>
              <m:sub>
                <m:r>
                  <m:t>s</m:t>
                </m:r>
                <m:r>
                  <m:t>t</m:t>
                </m:r>
                <m:r>
                  <m:t>a</m:t>
                </m:r>
                <m:r>
                  <m:t>b</m:t>
                </m:r>
              </m:sub>
            </m:sSub>
            <m:r>
              <m:rPr>
                <m:sty m:val="p"/>
              </m:rPr>
              <m:t>|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</w:p>
    <w:p>
      <w:r>
        <w:pict>
          <v:rect style="width:0;height:1.5pt" o:hralign="center" o:hrstd="t" o:hr="t"/>
        </w:pict>
      </w:r>
    </w:p>
    <w:bookmarkEnd w:id="15"/>
    <w:bookmarkEnd w:id="16"/>
    <w:bookmarkStart w:id="25" w:name="fórmulas-matemáticas-iso-13528"/>
    <w:p>
      <w:pPr>
        <w:pStyle w:val="Heading2"/>
      </w:pPr>
      <w:r>
        <w:t xml:space="preserve">Fórmulas Matemáticas (ISO 13528)</w:t>
      </w:r>
    </w:p>
    <w:bookmarkStart w:id="17" w:name="estimación-de-sigma_pt-made"/>
    <w:p>
      <w:pPr>
        <w:pStyle w:val="Heading3"/>
      </w:pPr>
      <w:r>
        <w:t xml:space="preserve">Estimación de</w:t>
      </w:r>
      <w:r>
        <w:t xml:space="preserve"> </w:t>
      </w:r>
      <m:oMath>
        <m:sSub>
          <m:e>
            <m:r>
              <m:t>σ</m:t>
            </m:r>
          </m:e>
          <m:sub>
            <m:r>
              <m:t>p</m:t>
            </m:r>
            <m:r>
              <m:t>t</m:t>
            </m:r>
          </m:sub>
        </m:sSub>
      </m:oMath>
      <w:r>
        <w:t xml:space="preserve"> </w:t>
      </w:r>
      <w:r>
        <w:t xml:space="preserve">(MADe)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p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MADe</m:t>
          </m:r>
          <m:r>
            <m:rPr>
              <m:sty m:val="p"/>
            </m:rPr>
            <m:t>=</m:t>
          </m:r>
          <m:r>
            <m:t>1.483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mediana</m:t>
          </m:r>
          <m:r>
            <m:rPr>
              <m:sty m:val="p"/>
            </m:rPr>
            <m:t>(</m:t>
          </m:r>
          <m:r>
            <m:rPr>
              <m:sty m:val="p"/>
            </m:rPr>
            <m:t>|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rPr>
              <m:nor/>
              <m:sty m:val="p"/>
            </m:rPr>
            <m:t>mediana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son las medias de las muestras.</w:t>
      </w:r>
    </w:p>
    <w:bookmarkEnd w:id="17"/>
    <w:bookmarkStart w:id="18" w:name="incertidumbre-de-sigma_pt"/>
    <w:p>
      <w:pPr>
        <w:pStyle w:val="Heading3"/>
      </w:pPr>
      <w:r>
        <w:t xml:space="preserve">Incertidumbre de</w:t>
      </w:r>
      <w:r>
        <w:t xml:space="preserve"> </w:t>
      </w:r>
      <m:oMath>
        <m:sSub>
          <m:e>
            <m:r>
              <m:t>σ</m:t>
            </m:r>
          </m:e>
          <m:sub>
            <m:r>
              <m:t>p</m:t>
            </m:r>
            <m:r>
              <m:t>t</m:t>
            </m:r>
          </m:sub>
        </m:sSub>
      </m:oMath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sSub>
                <m:e>
                  <m:r>
                    <m:t>σ</m:t>
                  </m:r>
                </m:e>
                <m:sub>
                  <m:r>
                    <m:t>p</m:t>
                  </m:r>
                  <m:r>
                    <m:t>t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t>1.25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sSub>
                <m:e>
                  <m:r>
                    <m:t>σ</m:t>
                  </m:r>
                </m:e>
                <m:sub>
                  <m:r>
                    <m:t>p</m:t>
                  </m:r>
                  <m:r>
                    <m:t>t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t>g</m:t>
                  </m:r>
                </m:e>
              </m:rad>
            </m:den>
          </m:f>
        </m:oMath>
      </m:oMathPara>
    </w:p>
    <w:bookmarkEnd w:id="18"/>
    <w:bookmarkStart w:id="19" w:name="normal-interquartile-range-niqr"/>
    <w:p>
      <w:pPr>
        <w:pStyle w:val="Heading3"/>
      </w:pPr>
      <w:r>
        <w:t xml:space="preserve">Normal Interquartile Range (nIQR)</w:t>
      </w:r>
    </w:p>
    <w:p>
      <w:pPr>
        <w:pStyle w:val="FirstParagraph"/>
      </w:pPr>
      <m:oMathPara>
        <m:oMathParaPr>
          <m:jc m:val="center"/>
        </m:oMathParaPr>
        <m:oMath>
          <m:r>
            <m:t>n</m:t>
          </m:r>
          <m:r>
            <m:t>I</m:t>
          </m:r>
          <m:r>
            <m:t>Q</m:t>
          </m:r>
          <m:r>
            <m:t>R</m:t>
          </m:r>
          <m:r>
            <m:rPr>
              <m:sty m:val="p"/>
            </m:rPr>
            <m:t>=</m:t>
          </m:r>
          <m:r>
            <m:t>0.7413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Nota: El aplicativo implementa ambos métodos (MADe y nIQR) para el cálculo de</w:t>
      </w:r>
      <w:r>
        <w:t xml:space="preserve"> </w:t>
      </w:r>
      <m:oMath>
        <m:sSub>
          <m:e>
            <m:r>
              <m:t>σ</m:t>
            </m:r>
          </m:e>
          <m:sub>
            <m:r>
              <m:t>p</m:t>
            </m:r>
            <m:r>
              <m:t>t</m:t>
            </m:r>
          </m:sub>
        </m:sSub>
      </m:oMath>
      <w:r>
        <w:t xml:space="preserve">, mostrando resultados lado a lado para comparación.</w:t>
      </w:r>
    </w:p>
    <w:bookmarkEnd w:id="19"/>
    <w:bookmarkStart w:id="20" w:name="incertidumbre-del-valor-asignado-u_xpt"/>
    <w:p>
      <w:pPr>
        <w:pStyle w:val="Heading3"/>
      </w:pPr>
      <w:r>
        <w:t xml:space="preserve">Incertidumbre del Valor Asignado (</w:t>
      </w:r>
      <m:oMath>
        <m:sSub>
          <m:e>
            <m:r>
              <m:t>u</m:t>
            </m:r>
          </m:e>
          <m:sub>
            <m:r>
              <m:t>x</m:t>
            </m:r>
            <m:r>
              <m:t>p</m:t>
            </m:r>
            <m:r>
              <m:t>t</m:t>
            </m:r>
          </m:sub>
        </m:sSub>
      </m:oMath>
      <w:r>
        <w:t xml:space="preserve">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x</m:t>
              </m:r>
              <m:r>
                <m:t>p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1.25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sSub>
                <m:e>
                  <m:r>
                    <m:t>σ</m:t>
                  </m:r>
                </m:e>
                <m:sub>
                  <m:r>
                    <m:t>p</m:t>
                  </m:r>
                  <m:r>
                    <m:t>t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bookmarkEnd w:id="20"/>
    <w:bookmarkStart w:id="21" w:name="criterio-de-homogeneidad"/>
    <w:p>
      <w:pPr>
        <w:pStyle w:val="Heading3"/>
      </w:pPr>
      <w:r>
        <w:t xml:space="preserve">Criterio de Homogeneidad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≤</m:t>
          </m:r>
          <m:r>
            <m:t>c</m:t>
          </m:r>
          <m:r>
            <m:rPr>
              <m:sty m:val="p"/>
            </m:rPr>
            <m:t>=</m:t>
          </m:r>
          <m:r>
            <m:t>0.3</m:t>
          </m:r>
          <m:r>
            <m:rPr>
              <m:sty m:val="p"/>
            </m:rPr>
            <m:t>×</m:t>
          </m:r>
          <m:sSub>
            <m:e>
              <m:r>
                <m:t>σ</m:t>
              </m:r>
            </m:e>
            <m:sub>
              <m:r>
                <m:t>p</m:t>
              </m:r>
              <m:r>
                <m:t>t</m:t>
              </m:r>
            </m:sub>
          </m:sSub>
        </m:oMath>
      </m:oMathPara>
    </w:p>
    <w:bookmarkEnd w:id="21"/>
    <w:bookmarkStart w:id="22" w:name="criterio-de-homogeneidad-expandido"/>
    <w:p>
      <w:pPr>
        <w:pStyle w:val="Heading3"/>
      </w:pPr>
      <w:r>
        <w:t xml:space="preserve">Criterio de Homogeneidad Expandido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e</m:t>
              </m:r>
              <m:r>
                <m:t>x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+</m:t>
          </m:r>
          <m:sSub>
            <m:e>
              <m:r>
                <m:t>u</m:t>
              </m:r>
            </m:e>
            <m:sub>
              <m:sSub>
                <m:e>
                  <m:r>
                    <m:t>σ</m:t>
                  </m:r>
                </m:e>
                <m:sub>
                  <m:r>
                    <m:t>p</m:t>
                  </m:r>
                  <m:r>
                    <m:t>t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t>0.3</m:t>
          </m:r>
          <m:r>
            <m:rPr>
              <m:sty m:val="p"/>
            </m:rPr>
            <m:t>×</m:t>
          </m:r>
          <m:sSub>
            <m:e>
              <m:r>
                <m:t>σ</m:t>
              </m:r>
            </m:e>
            <m:sub>
              <m:r>
                <m:t>p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r>
            <m:t>1.25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sSub>
                <m:e>
                  <m:r>
                    <m:t>σ</m:t>
                  </m:r>
                </m:e>
                <m:sub>
                  <m:r>
                    <m:t>p</m:t>
                  </m:r>
                  <m:r>
                    <m:t>t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t>g</m:t>
                  </m:r>
                </m:e>
              </m:rad>
            </m:den>
          </m:f>
        </m:oMath>
      </m:oMathPara>
    </w:p>
    <w:bookmarkEnd w:id="22"/>
    <w:bookmarkStart w:id="23" w:name="varianza-entre-muestras-s_s"/>
    <w:p>
      <w:pPr>
        <w:pStyle w:val="Heading3"/>
      </w:pPr>
      <w:r>
        <w:t xml:space="preserve">Varianza Entre-muestras (</w:t>
      </w:r>
      <m:oMath>
        <m:sSub>
          <m:e>
            <m:r>
              <m:t>s</m:t>
            </m:r>
          </m:e>
          <m:sub>
            <m:r>
              <m:t>s</m:t>
            </m:r>
          </m:sub>
        </m:sSub>
      </m:oMath>
      <w:r>
        <w:t xml:space="preserve">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Sup>
                <m:e>
                  <m:r>
                    <m:t>s</m:t>
                  </m:r>
                </m:e>
                <m: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w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r>
                    <m:t>m</m:t>
                  </m:r>
                </m:den>
              </m:f>
            </m:e>
          </m:rad>
        </m:oMath>
      </m:oMathPara>
    </w:p>
    <w:bookmarkEnd w:id="23"/>
    <w:bookmarkStart w:id="24" w:name="varianza-dentro-muestras-s_w"/>
    <w:p>
      <w:pPr>
        <w:pStyle w:val="Heading3"/>
      </w:pPr>
      <w:r>
        <w:t xml:space="preserve">Varianza Dentro-muestras (</w:t>
      </w:r>
      <m:oMath>
        <m:sSub>
          <m:e>
            <m:r>
              <m:t>s</m:t>
            </m:r>
          </m:e>
          <m:sub>
            <m:r>
              <m:t>w</m:t>
            </m:r>
          </m:sub>
        </m:sSub>
      </m:oMath>
      <w:r>
        <w:t xml:space="preserve">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∑</m:t>
                  </m:r>
                  <m:sSubSup>
                    <m:e>
                      <m:r>
                        <m:t>w</m:t>
                      </m:r>
                    </m:e>
                    <m:sub>
                      <m:r>
                        <m:t>t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r>
                    <m:t>2</m:t>
                  </m:r>
                  <m:r>
                    <m:t>g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sSub>
          <m:e>
            <m:r>
              <m:t>w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es el rango de las réplicas para el ítem</w:t>
      </w:r>
      <w:r>
        <w:t xml:space="preserve"> </w:t>
      </w:r>
      <m:oMath>
        <m:r>
          <m:t>t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gestión-de-errores"/>
    <w:p>
      <w:pPr>
        <w:pStyle w:val="Heading2"/>
      </w:pPr>
      <w:r>
        <w:t xml:space="preserve">Gestión de Errores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096"/>
        <w:gridCol w:w="1630"/>
        <w:gridCol w:w="23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Mensaje</w:t>
            </w:r>
          </w:p>
        </w:tc>
        <w:tc>
          <w:tcPr/>
          <w:p>
            <w:pPr>
              <w:pStyle w:val="Compact"/>
            </w:pPr>
            <w:r>
              <w:t xml:space="preserve">Causa</w:t>
            </w:r>
          </w:p>
        </w:tc>
        <w:tc>
          <w:tcPr/>
          <w:p>
            <w:pPr>
              <w:pStyle w:val="Compact"/>
            </w:pPr>
            <w:r>
              <w:t xml:space="preserve">Solución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Datos faltantes</w:t>
            </w:r>
          </w:p>
        </w:tc>
        <w:tc>
          <w:tcPr/>
          <w:p>
            <w:pPr>
              <w:pStyle w:val="Compact"/>
            </w:pPr>
            <w:r>
              <w:t xml:space="preserve">“No se encontraron datos de homogeneidad para el analito</w:t>
            </w:r>
            <w:r>
              <w:t xml:space="preserve"> </w:t>
            </w:r>
            <w:r>
              <w:t xml:space="preserve">‘X’</w:t>
            </w:r>
            <w:r>
              <w:t xml:space="preserve">”</w:t>
            </w:r>
          </w:p>
        </w:tc>
        <w:tc>
          <w:tcPr/>
          <w:p>
            <w:pPr>
              <w:pStyle w:val="Compact"/>
            </w:pPr>
            <w:r>
              <w:t xml:space="preserve">Archivo no cargado o analito no existe en CSV.</w:t>
            </w:r>
          </w:p>
        </w:tc>
        <w:tc>
          <w:tcPr/>
          <w:p>
            <w:pPr>
              <w:pStyle w:val="Compact"/>
            </w:pPr>
            <w:r>
              <w:t xml:space="preserve">Verificar carga en pestaña</w:t>
            </w:r>
            <w:r>
              <w:t xml:space="preserve"> </w:t>
            </w:r>
            <w:r>
              <w:t xml:space="preserve">“Carga de datos”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Nivel inexistente</w:t>
            </w:r>
          </w:p>
        </w:tc>
        <w:tc>
          <w:tcPr/>
          <w:p>
            <w:pPr>
              <w:pStyle w:val="Compact"/>
            </w:pPr>
            <w:r>
              <w:t xml:space="preserve">“El nivel</w:t>
            </w:r>
            <w:r>
              <w:t xml:space="preserve"> </w:t>
            </w:r>
            <w:r>
              <w:t xml:space="preserve">‘X’</w:t>
            </w:r>
            <w:r>
              <w:t xml:space="preserve"> </w:t>
            </w:r>
            <w:r>
              <w:t xml:space="preserve">no existe para el analito</w:t>
            </w:r>
            <w:r>
              <w:t xml:space="preserve"> </w:t>
            </w:r>
            <w:r>
              <w:t xml:space="preserve">‘Y’</w:t>
            </w:r>
            <w:r>
              <w:t xml:space="preserve">”</w:t>
            </w:r>
          </w:p>
        </w:tc>
        <w:tc>
          <w:tcPr/>
          <w:p>
            <w:pPr>
              <w:pStyle w:val="Compact"/>
            </w:pPr>
            <w:r>
              <w:t xml:space="preserve">Selección de nivel no presente en los datos.</w:t>
            </w:r>
          </w:p>
        </w:tc>
        <w:tc>
          <w:tcPr/>
          <w:p>
            <w:pPr>
              <w:pStyle w:val="Compact"/>
            </w:pPr>
            <w:r>
              <w:t xml:space="preserve">Revisar consistencia de los archivos CSV.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Réplicas insuficientes</w:t>
            </w:r>
          </w:p>
        </w:tc>
        <w:tc>
          <w:tcPr/>
          <w:p>
            <w:pPr>
              <w:pStyle w:val="Compact"/>
            </w:pPr>
            <w:r>
              <w:t xml:space="preserve">“No hay suficientes réplicas (se requieren al menos 2)”</w:t>
            </w:r>
          </w:p>
        </w:tc>
        <w:tc>
          <w:tcPr/>
          <w:p>
            <w:pPr>
              <w:pStyle w:val="Compact"/>
            </w:pPr>
            <w:r>
              <w:t xml:space="preserve">Menos de 2 columnas de mediciones (sample_*).</w:t>
            </w:r>
          </w:p>
        </w:tc>
        <w:tc>
          <w:tcPr/>
          <w:p>
            <w:pPr>
              <w:pStyle w:val="Compact"/>
            </w:pPr>
            <w:r>
              <w:t xml:space="preserve">Asegurar formato de datos con al menos 2 réplicas.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Ítems insuficientes</w:t>
            </w:r>
          </w:p>
        </w:tc>
        <w:tc>
          <w:tcPr/>
          <w:p>
            <w:pPr>
              <w:pStyle w:val="Compact"/>
            </w:pPr>
            <w:r>
              <w:t xml:space="preserve">“No hay suficientes ítems (se requieren al menos 2)”</w:t>
            </w:r>
          </w:p>
        </w:tc>
        <w:tc>
          <w:tcPr/>
          <w:p>
            <w:pPr>
              <w:pStyle w:val="Compact"/>
            </w:pPr>
            <w:r>
              <w:t xml:space="preserve">Menos de 2 filas de datos para el nivel/analito.</w:t>
            </w:r>
          </w:p>
        </w:tc>
        <w:tc>
          <w:tcPr/>
          <w:p>
            <w:pPr>
              <w:pStyle w:val="Compact"/>
            </w:pPr>
            <w:r>
              <w:t xml:space="preserve">Incrementar el número de muestras analizadas.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9" w:name="detalle-de-salidas-outputs"/>
    <w:p>
      <w:pPr>
        <w:pStyle w:val="Heading2"/>
      </w:pPr>
      <w:r>
        <w:t xml:space="preserve">Detalle de Salidas (Outputs)</w:t>
      </w:r>
    </w:p>
    <w:bookmarkStart w:id="27" w:name="X0735be08205a5e5a9ae03ec651bcf08020ef5ae"/>
    <w:p>
      <w:pPr>
        <w:pStyle w:val="Heading3"/>
      </w:pPr>
      <w:r>
        <w:t xml:space="preserve">Conclusión de Homogeneidad (</w:t>
      </w:r>
      <w:r>
        <w:rPr>
          <w:rStyle w:val="VerbatimChar"/>
        </w:rPr>
        <w:t xml:space="preserve">output$homog_conclusion</w:t>
      </w:r>
      <w:r>
        <w:t xml:space="preserve">)</w:t>
      </w:r>
    </w:p>
    <w:p>
      <w:pPr>
        <w:pStyle w:val="FirstParagraph"/>
      </w:pPr>
      <w:r>
        <w:t xml:space="preserve">Muestra un cuadro de alerta dinámico: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Verde (</w:t>
      </w:r>
      <w:r>
        <w:rPr>
          <w:rStyle w:val="VerbatimChar"/>
          <w:b/>
          <w:bCs/>
        </w:rPr>
        <w:t xml:space="preserve">alert-success</w:t>
      </w:r>
      <w:r>
        <w:rPr>
          <w:b/>
          <w:bCs/>
        </w:rPr>
        <w:t xml:space="preserve">)</w:t>
      </w:r>
      <w:r>
        <w:t xml:space="preserve">: Cumple el criterio crítico (</w:t>
      </w:r>
      <m:oMath>
        <m:sSub>
          <m:e>
            <m:r>
              <m:t>s</m:t>
            </m:r>
          </m:e>
          <m:sub>
            <m:r>
              <m:t>s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Amarillo (</w:t>
      </w:r>
      <w:r>
        <w:rPr>
          <w:rStyle w:val="VerbatimChar"/>
          <w:b/>
          <w:bCs/>
        </w:rPr>
        <w:t xml:space="preserve">alert-warning</w:t>
      </w:r>
      <w:r>
        <w:rPr>
          <w:b/>
          <w:bCs/>
        </w:rPr>
        <w:t xml:space="preserve">)</w:t>
      </w:r>
      <w:r>
        <w:t xml:space="preserve">: No cumple el criterio crítico pero cumple el expandido.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Rojo (</w:t>
      </w:r>
      <w:r>
        <w:rPr>
          <w:rStyle w:val="VerbatimChar"/>
          <w:b/>
          <w:bCs/>
        </w:rPr>
        <w:t xml:space="preserve">alert-danger</w:t>
      </w:r>
      <w:r>
        <w:rPr>
          <w:b/>
          <w:bCs/>
        </w:rPr>
        <w:t xml:space="preserve">)</w:t>
      </w:r>
      <w:r>
        <w:t xml:space="preserve">: Falla ambos criterios.</w:t>
      </w:r>
    </w:p>
    <w:bookmarkEnd w:id="27"/>
    <w:bookmarkStart w:id="28" w:name="Xe329c1cc5eea36c50ff156a584058a354412973"/>
    <w:p>
      <w:pPr>
        <w:pStyle w:val="Heading3"/>
      </w:pPr>
      <w:r>
        <w:t xml:space="preserve">Componentes de Varianza (</w:t>
      </w:r>
      <w:r>
        <w:rPr>
          <w:rStyle w:val="VerbatimChar"/>
        </w:rPr>
        <w:t xml:space="preserve">output$variance_components</w:t>
      </w:r>
      <w:r>
        <w:t xml:space="preserve">)</w:t>
      </w:r>
    </w:p>
    <w:p>
      <w:pPr>
        <w:pStyle w:val="FirstParagraph"/>
      </w:pPr>
      <w:r>
        <w:t xml:space="preserve">Muestra la descomposición de la variabilidad: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Media General (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p</m:t>
            </m:r>
            <m:r>
              <m:t>t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Desviación Estándar Permitida (</w:t>
      </w:r>
      <m:oMath>
        <m:sSub>
          <m:e>
            <m:r>
              <m:t>σ</m:t>
            </m:r>
          </m:e>
          <m:sub>
            <m:r>
              <m:t>p</m:t>
            </m:r>
            <m:r>
              <m:t>t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s</m:t>
            </m:r>
          </m:e>
          <m:sub>
            <m:r>
              <m:t>s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y</w:t>
      </w:r>
      <w:r>
        <w:rPr>
          <w:b/>
          <w:bCs/>
        </w:rPr>
        <w:t xml:space="preserve"> </w:t>
      </w:r>
      <m:oMath>
        <m:sSub>
          <m:e>
            <m:r>
              <m:t>s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calculados mediante ANOVA.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algoritmo-a"/>
    <w:p>
      <w:pPr>
        <w:pStyle w:val="Heading2"/>
      </w:pPr>
      <w:r>
        <w:t xml:space="preserve">Algoritmo A</w:t>
      </w:r>
    </w:p>
    <w:p>
      <w:pPr>
        <w:pStyle w:val="FirstParagraph"/>
      </w:pPr>
      <w:r>
        <w:t xml:space="preserve">El módulo incluye un observador específico para ejecutar el Algoritmo A (ISO 13528 Anexo C) de forma interactiva.</w:t>
      </w:r>
    </w:p>
    <w:p>
      <w:pPr>
        <w:pStyle w:val="BodyText"/>
      </w:pPr>
      <w:r>
        <w:rPr>
          <w:b/>
          <w:bCs/>
        </w:rPr>
        <w:t xml:space="preserve">Diagrama de Secuencia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User</w:t>
      </w:r>
      <w:r>
        <w:br/>
      </w:r>
      <w:r>
        <w:rPr>
          <w:rStyle w:val="VerbatimChar"/>
        </w:rPr>
        <w:t xml:space="preserve">    participant UI</w:t>
      </w:r>
      <w:r>
        <w:br/>
      </w:r>
      <w:r>
        <w:rPr>
          <w:rStyle w:val="VerbatimChar"/>
        </w:rPr>
        <w:t xml:space="preserve">    participant Cache</w:t>
      </w:r>
      <w:r>
        <w:br/>
      </w:r>
      <w:r>
        <w:rPr>
          <w:rStyle w:val="VerbatimChar"/>
        </w:rPr>
        <w:t xml:space="preserve">    participant AlgoA</w:t>
      </w:r>
      <w:r>
        <w:br/>
      </w:r>
      <w:r>
        <w:rPr>
          <w:rStyle w:val="VerbatimChar"/>
        </w:rPr>
        <w:t xml:space="preserve">    User-&gt;&gt;UI: Click "Run Algorithm A"</w:t>
      </w:r>
      <w:r>
        <w:br/>
      </w:r>
      <w:r>
        <w:rPr>
          <w:rStyle w:val="VerbatimChar"/>
        </w:rPr>
        <w:t xml:space="preserve">    UI-&gt;&gt;UI: observeEvent(input$algoA_run)</w:t>
      </w:r>
      <w:r>
        <w:br/>
      </w:r>
      <w:r>
        <w:rPr>
          <w:rStyle w:val="VerbatimChar"/>
        </w:rPr>
        <w:t xml:space="preserve">    UI-&gt;&gt;Cache: Verificar si existen resultados</w:t>
      </w:r>
      <w:r>
        <w:br/>
      </w:r>
      <w:r>
        <w:rPr>
          <w:rStyle w:val="VerbatimChar"/>
        </w:rPr>
        <w:t xml:space="preserve">    alt Cache vacío o desactualizado</w:t>
      </w:r>
      <w:r>
        <w:br/>
      </w:r>
      <w:r>
        <w:rPr>
          <w:rStyle w:val="VerbatimChar"/>
        </w:rPr>
        <w:t xml:space="preserve">        UI-&gt;&gt;AlgoA: Ejecutar ptcalc::run_algorithm_a()</w:t>
      </w:r>
      <w:r>
        <w:br/>
      </w:r>
      <w:r>
        <w:rPr>
          <w:rStyle w:val="VerbatimChar"/>
        </w:rPr>
        <w:t xml:space="preserve">        AlgoA--&gt;&gt;UI: Retorna resultados robustos</w:t>
      </w:r>
      <w:r>
        <w:br/>
      </w:r>
      <w:r>
        <w:rPr>
          <w:rStyle w:val="VerbatimChar"/>
        </w:rPr>
        <w:t xml:space="preserve">        UI-&gt;&gt;Cache: Almacenar resultados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UI-&gt;&gt;UI: Actualizar output$algoA_result_summary</w:t>
      </w:r>
      <w:r>
        <w:br/>
      </w:r>
      <w:r>
        <w:rPr>
          <w:rStyle w:val="VerbatimChar"/>
        </w:rPr>
        <w:t xml:space="preserve">    UI--&gt;&gt;User: Mostrar tabla de resultados</w:t>
      </w:r>
    </w:p>
    <w:p>
      <w:pPr>
        <w:pStyle w:val="FirstParagraph"/>
      </w:pPr>
      <w:r>
        <w:rPr>
          <w:b/>
          <w:bCs/>
        </w:rPr>
        <w:t xml:space="preserve">Lógica de Caché</w:t>
      </w:r>
      <w:r>
        <w:t xml:space="preserve">:</w:t>
      </w:r>
      <w:r>
        <w:t xml:space="preserve"> </w:t>
      </w:r>
      <w:r>
        <w:t xml:space="preserve">Se utiliza</w:t>
      </w:r>
      <w:r>
        <w:t xml:space="preserve"> </w:t>
      </w:r>
      <w:r>
        <w:rPr>
          <w:rStyle w:val="VerbatimChar"/>
        </w:rPr>
        <w:t xml:space="preserve">reactiveVal(NULL)</w:t>
      </w:r>
      <w:r>
        <w:t xml:space="preserve"> </w:t>
      </w:r>
      <w:r>
        <w:t xml:space="preserve">para almacenar los resultados. Si el usuario cambia el archivo de entrada, el caché se limpia automáticamente para garantizar la integridad de los datos.</w:t>
      </w:r>
    </w:p>
    <w:p>
      <w:r>
        <w:pict>
          <v:rect style="width:0;height:1.5pt" o:hralign="center" o:hrstd="t" o:hr="t"/>
        </w:pict>
      </w:r>
    </w:p>
    <w:bookmarkEnd w:id="30"/>
    <w:bookmarkStart w:id="31" w:name="pestañas-de-análisis"/>
    <w:p>
      <w:pPr>
        <w:pStyle w:val="Heading2"/>
      </w:pPr>
      <w:r>
        <w:t xml:space="preserve">Pestañas de Análisis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Vista Previa de Datos</w:t>
      </w:r>
      <w:r>
        <w:t xml:space="preserve">: Muestra las primeras filas y gráficos de distribución (Histogramas/Boxplots).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Evaluación de Homogeneidad</w:t>
      </w:r>
      <w:r>
        <w:t xml:space="preserve">: Resultados estadísticos y evaluación de criterios ISO.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Evaluación de Estabilidad</w:t>
      </w:r>
      <w:r>
        <w:t xml:space="preserve">: Comparativa de estabilidad y cálculo de</w:t>
      </w:r>
      <w:r>
        <w:t xml:space="preserve"> </w:t>
      </w:r>
      <m:oMath>
        <m:sSub>
          <m:e>
            <m:r>
              <m:t>u</m:t>
            </m:r>
          </m:e>
          <m:sub>
            <m:r>
              <m:t>s</m:t>
            </m:r>
            <m:r>
              <m:t>t</m:t>
            </m:r>
            <m:r>
              <m:t>a</m:t>
            </m:r>
            <m:r>
              <m:t>b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Contribuciones a la Incertidumbre</w:t>
      </w:r>
      <w:r>
        <w:t xml:space="preserve">: Tablas resumen de</w:t>
      </w:r>
      <w:r>
        <w:t xml:space="preserve"> </w:t>
      </w:r>
      <m:oMath>
        <m:sSub>
          <m:e>
            <m:r>
              <m:t>u</m:t>
            </m:r>
          </m:e>
          <m:sub>
            <m:r>
              <m:t>h</m:t>
            </m:r>
            <m:r>
              <m:t>o</m:t>
            </m:r>
            <m:r>
              <m:t>m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u</m:t>
            </m:r>
          </m:e>
          <m:sub>
            <m:r>
              <m:t>s</m:t>
            </m:r>
            <m:r>
              <m:t>t</m:t>
            </m:r>
            <m:r>
              <m:t>a</m:t>
            </m:r>
            <m:r>
              <m:t>b</m:t>
            </m:r>
          </m:sub>
        </m:sSub>
      </m:oMath>
      <w:r>
        <w:t xml:space="preserve"> </w:t>
      </w:r>
      <w:r>
        <w:t xml:space="preserve">para todos los niveles analizados.</w:t>
      </w:r>
    </w:p>
    <w:p>
      <w:r>
        <w:pict>
          <v:rect style="width:0;height:1.5pt" o:hralign="center" o:hrstd="t" o:hr="t"/>
        </w:pict>
      </w:r>
    </w:p>
    <w:bookmarkEnd w:id="31"/>
    <w:bookmarkStart w:id="32" w:name="integración-con-ptcalc"/>
    <w:p>
      <w:pPr>
        <w:pStyle w:val="Heading2"/>
      </w:pPr>
      <w:r>
        <w:t xml:space="preserve">Integración con ptcalc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SHINY["app.R&lt;br&gt;compute_homogeneity_metrics()"] --&gt; PTCALC["ptcalc package"]</w:t>
      </w:r>
      <w:r>
        <w:br/>
      </w:r>
      <w:r>
        <w:rPr>
          <w:rStyle w:val="VerbatimChar"/>
        </w:rPr>
        <w:t xml:space="preserve">    PTCALC --&gt; EVAL["Evaluar Criterios"]</w:t>
      </w:r>
      <w:r>
        <w:br/>
      </w:r>
      <w:r>
        <w:rPr>
          <w:rStyle w:val="VerbatimChar"/>
        </w:rPr>
        <w:t xml:space="preserve">    EVAL --&gt; OUTPUT["Salidas UI"]</w:t>
      </w:r>
      <w:r>
        <w:br/>
      </w:r>
      <w:r>
        <w:br/>
      </w:r>
      <w:r>
        <w:rPr>
          <w:rStyle w:val="VerbatimChar"/>
        </w:rPr>
        <w:t xml:space="preserve">    PTCALC --&gt; CALC1["calculate_mad_e()"]</w:t>
      </w:r>
      <w:r>
        <w:br/>
      </w:r>
      <w:r>
        <w:rPr>
          <w:rStyle w:val="VerbatimChar"/>
        </w:rPr>
        <w:t xml:space="preserve">    PTCALC --&gt; CALC2["calculate_niqr()"]</w:t>
      </w:r>
      <w:r>
        <w:br/>
      </w:r>
      <w:r>
        <w:rPr>
          <w:rStyle w:val="VerbatimChar"/>
        </w:rPr>
        <w:t xml:space="preserve">    PTCALC --&gt; CALC3["run_algorithm_a()"]</w:t>
      </w:r>
      <w:r>
        <w:br/>
      </w:r>
      <w:r>
        <w:br/>
      </w:r>
      <w:r>
        <w:rPr>
          <w:rStyle w:val="VerbatimChar"/>
        </w:rPr>
        <w:t xml:space="preserve">    CALC1 --&gt; ANOVA["Cálculos ANOVA"]</w:t>
      </w:r>
      <w:r>
        <w:br/>
      </w:r>
      <w:r>
        <w:rPr>
          <w:rStyle w:val="VerbatimChar"/>
        </w:rPr>
        <w:t xml:space="preserve">    CALC2 --&gt; ANOVA</w:t>
      </w:r>
      <w:r>
        <w:br/>
      </w:r>
      <w:r>
        <w:rPr>
          <w:rStyle w:val="VerbatimChar"/>
        </w:rPr>
        <w:t xml:space="preserve">    CALC3 --&gt; OUTPUT</w:t>
      </w:r>
    </w:p>
    <w:p>
      <w:r>
        <w:pict>
          <v:rect style="width:0;height:1.5pt" o:hralign="center" o:hrstd="t" o:hr="t"/>
        </w:pict>
      </w:r>
    </w:p>
    <w:bookmarkEnd w:id="32"/>
    <w:bookmarkStart w:id="33" w:name="referencias"/>
    <w:p>
      <w:pPr>
        <w:pStyle w:val="Heading2"/>
      </w:pPr>
      <w:r>
        <w:t xml:space="preserve">Referencias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ISO 13528:2022</w:t>
      </w:r>
      <w:r>
        <w:t xml:space="preserve">: Statistical methods for use in proficiency testing by interlaboratory comparison.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ISO/IEC 17043:2023</w:t>
      </w:r>
      <w:r>
        <w:t xml:space="preserve">: Conformity assessment — General requirements for the competence of proficiency testing providers.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2026-01-29T03:50:31Z</dcterms:created>
  <dcterms:modified xsi:type="dcterms:W3CDTF">2026-01-29T03:50:31Z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