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ódulo-valor-asignado-x_pt"/>
    <w:p>
      <w:pPr>
        <w:pStyle w:val="Heading1"/>
      </w:pPr>
      <w:r>
        <w:t xml:space="preserve">Módulo: Valor Asignado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Este módulo gestiona el cálculo del valor asignado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y su incertidumbre estándar utilizando diferentes métodos según la disponibilidad de datos y las preferencias del usuario, cumpliendo con las directrices de la norma ISO 13528:2022.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Ubicación UI</w:t>
            </w:r>
          </w:p>
        </w:tc>
        <w:tc>
          <w:tcPr/>
          <w:p>
            <w:pPr>
              <w:pStyle w:val="Compact"/>
            </w:pPr>
            <w:r>
              <w:t xml:space="preserve">Accordion dentro de la pestaña</w:t>
            </w:r>
            <w:r>
              <w:t xml:space="preserve"> </w:t>
            </w:r>
            <w:r>
              <w:t xml:space="preserve">“Valor asignado”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Líneas UI</w:t>
            </w:r>
          </w:p>
        </w:tc>
        <w:tc>
          <w:tcPr/>
          <w:p>
            <w:pPr>
              <w:pStyle w:val="Compact"/>
            </w:pPr>
            <w:r>
              <w:t xml:space="preserve">877-946 (tabPanel</w:t>
            </w:r>
            <w:r>
              <w:t xml:space="preserve"> </w:t>
            </w:r>
            <w:r>
              <w:t xml:space="preserve">“Valor asignado”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Líneas Lógica</w:t>
            </w:r>
          </w:p>
        </w:tc>
        <w:tc>
          <w:tcPr/>
          <w:p>
            <w:pPr>
              <w:pStyle w:val="Compact"/>
            </w:pPr>
            <w:r>
              <w:t xml:space="preserve">642-715 (</w:t>
            </w:r>
            <w:r>
              <w:rPr>
                <w:rStyle w:val="VerbatimChar"/>
              </w:rPr>
              <w:t xml:space="preserve">observeEvent algoA_run</w:t>
            </w:r>
            <w:r>
              <w:t xml:space="preserve">), 1926-2098 (</w:t>
            </w:r>
            <w:r>
              <w:rPr>
                <w:rStyle w:val="VerbatimChar"/>
              </w:rPr>
              <w:t xml:space="preserve">compute_scores_for_selection</w:t>
            </w:r>
            <w:r>
              <w:t xml:space="preserve">), 2480-2658 (compatibilidad)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algoA_results_cache()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consensus_results_cache()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ptcalc</w:t>
            </w:r>
            <w:r>
              <w:t xml:space="preserve"> </w:t>
            </w: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 ISO</w:t>
            </w:r>
          </w:p>
        </w:tc>
        <w:tc>
          <w:tcPr/>
          <w:p>
            <w:pPr>
              <w:pStyle w:val="Compact"/>
            </w:pPr>
            <w:r>
              <w:t xml:space="preserve">ISO 13528:2022 Sección 6 y Anexo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étodos-disponibles"/>
    <w:p>
      <w:pPr>
        <w:pStyle w:val="Heading2"/>
      </w:pPr>
      <w:r>
        <w:t xml:space="preserve">2. Métodos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8"/>
        <w:gridCol w:w="728"/>
        <w:gridCol w:w="1183"/>
        <w:gridCol w:w="1638"/>
        <w:gridCol w:w="2093"/>
        <w:gridCol w:w="15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Fórmula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Racional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Valor de laboratorio de referencia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MADe del lab ref</w:t>
            </w:r>
          </w:p>
        </w:tc>
        <w:tc>
          <w:tcPr/>
          <w:p>
            <w:pPr>
              <w:pStyle w:val="Compact"/>
            </w:pPr>
            <w:r>
              <w:t xml:space="preserve">Cuando se dispone de un valor trazable o certificado.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Consenso MADe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Mediana con MADe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1.483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MAD</m:t>
              </m:r>
            </m:oMath>
          </w:p>
        </w:tc>
        <w:tc>
          <w:tcPr/>
          <w:p>
            <w:pPr>
              <w:pStyle w:val="Compact"/>
            </w:pPr>
            <w:r>
              <w:t xml:space="preserve">Sin referencia; preferir robustez frente a valores atípicos.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Consenso nIQR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Mediana con nIQR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0.7413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IQR</m:t>
              </m:r>
            </m:oMath>
          </w:p>
        </w:tc>
        <w:tc>
          <w:tcPr/>
          <w:p>
            <w:pPr>
              <w:pStyle w:val="Compact"/>
            </w:pPr>
            <w:r>
              <w:t xml:space="preserve">Sin referencia; alternativa robusta si la distribución es asimétrica.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Estimación robusta iterativa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(robusto)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(robusto)</w:t>
            </w:r>
          </w:p>
        </w:tc>
        <w:tc>
          <w:tcPr/>
          <w:p>
            <w:pPr>
              <w:pStyle w:val="Compact"/>
            </w:pPr>
            <w:r>
              <w:t xml:space="preserve">Sin referencia y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; elimina influencia de atípicos de forma iterativa.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guía-de-selección-de-método"/>
    <w:p>
      <w:pPr>
        <w:pStyle w:val="Heading2"/>
      </w:pPr>
      <w:r>
        <w:t xml:space="preserve">3. Guía de Selección de Método</w:t>
      </w:r>
    </w:p>
    <w:bookmarkStart w:id="11" w:name="flujo-de-decisión"/>
    <w:p>
      <w:pPr>
        <w:pStyle w:val="Heading3"/>
      </w:pPr>
      <w:r>
        <w:t xml:space="preserve">Flujo de Decisión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START[Inicio] --&gt; Q1{¿Laboratorio de referencia disponible?}</w:t>
      </w:r>
      <w:r>
        <w:br/>
      </w:r>
      <w:r>
        <w:rPr>
          <w:rStyle w:val="VerbatimChar"/>
        </w:rPr>
        <w:t xml:space="preserve">    Q1 --&gt;|Sí| M1[Método 1: Referencia]</w:t>
      </w:r>
      <w:r>
        <w:br/>
      </w:r>
      <w:r>
        <w:rPr>
          <w:rStyle w:val="VerbatimChar"/>
        </w:rPr>
        <w:t xml:space="preserve">    Q1 --&gt;|No| Q2{¿n &gt;= 3 participantes?}</w:t>
      </w:r>
      <w:r>
        <w:br/>
      </w:r>
      <w:r>
        <w:rPr>
          <w:rStyle w:val="VerbatimChar"/>
        </w:rPr>
        <w:t xml:space="preserve">    Q2 --&gt;|No| M2[Método 2a o 2b: Consenso]</w:t>
      </w:r>
      <w:r>
        <w:br/>
      </w:r>
      <w:r>
        <w:rPr>
          <w:rStyle w:val="VerbatimChar"/>
        </w:rPr>
        <w:t xml:space="preserve">    Q2 --&gt;|Sí| Q3{¿Sospecha de outliers o preferencia ISO?}</w:t>
      </w:r>
      <w:r>
        <w:br/>
      </w:r>
      <w:r>
        <w:rPr>
          <w:rStyle w:val="VerbatimChar"/>
        </w:rPr>
        <w:t xml:space="preserve">    Q3 --&gt;|Sí| M3[Método 3: Algoritmo A]</w:t>
      </w:r>
      <w:r>
        <w:br/>
      </w:r>
      <w:r>
        <w:rPr>
          <w:rStyle w:val="VerbatimChar"/>
        </w:rPr>
        <w:t xml:space="preserve">    Q3 --&gt;|No| Q4{¿Preferencia de cálculo?}</w:t>
      </w:r>
      <w:r>
        <w:br/>
      </w:r>
      <w:r>
        <w:rPr>
          <w:rStyle w:val="VerbatimChar"/>
        </w:rPr>
        <w:t xml:space="preserve">    Q4 --&gt;|Robustez Simétrica| M2A[Método 2a: MADe]</w:t>
      </w:r>
      <w:r>
        <w:br/>
      </w:r>
      <w:r>
        <w:rPr>
          <w:rStyle w:val="VerbatimChar"/>
        </w:rPr>
        <w:t xml:space="preserve">    Q4 --&gt;|Simplicidad/Asimetría| M2B[Método 2b: nIQR]</w:t>
      </w:r>
      <w:r>
        <w:br/>
      </w:r>
      <w:r>
        <w:rPr>
          <w:rStyle w:val="VerbatimChar"/>
        </w:rPr>
        <w:t xml:space="preserve">    Q4 --&gt;|Iterativo ISO| M3</w:t>
      </w:r>
    </w:p>
    <w:bookmarkEnd w:id="11"/>
    <w:bookmarkStart w:id="12" w:name="criterios-de-selección"/>
    <w:p>
      <w:pPr>
        <w:pStyle w:val="Heading3"/>
      </w:pPr>
      <w:r>
        <w:t xml:space="preserve">Criterios de Selección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367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Método Recomendado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disponible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1</w:t>
            </w:r>
          </w:p>
        </w:tc>
        <w:tc>
          <w:tcPr/>
          <w:p>
            <w:pPr>
              <w:pStyle w:val="Compact"/>
            </w:pPr>
            <w:r>
              <w:t xml:space="preserve">Más confiable, utiliza trazabilidad metrológica.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referencia,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2a o 2b</w:t>
            </w:r>
          </w:p>
        </w:tc>
        <w:tc>
          <w:tcPr/>
          <w:p>
            <w:pPr>
              <w:pStyle w:val="Compact"/>
            </w:pPr>
            <w:r>
              <w:t xml:space="preserve">El consenso es la única opción estadística viable.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referencia,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3 (Algoritmo A)</w:t>
            </w:r>
          </w:p>
        </w:tc>
        <w:tc>
          <w:tcPr/>
          <w:p>
            <w:pPr>
              <w:pStyle w:val="Compact"/>
            </w:pPr>
            <w:r>
              <w:t xml:space="preserve">La estimación robusta minimiza el sesgo de valores atípicos.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datos mixta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Comparar métodos</w:t>
            </w:r>
          </w:p>
        </w:tc>
        <w:tc>
          <w:tcPr/>
          <w:p>
            <w:pPr>
              <w:pStyle w:val="Compact"/>
            </w:pPr>
            <w:r>
              <w:t xml:space="preserve">Verificar consistencia entre consenso y algoritmo 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mapa-de-componentes-ui-e-interacciones"/>
    <w:p>
      <w:pPr>
        <w:pStyle w:val="Heading2"/>
      </w:pPr>
      <w:r>
        <w:t xml:space="preserve">4. Mapa de Componentes UI e Interacciones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494"/>
        <w:gridCol w:w="1643"/>
        <w:gridCol w:w="896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ID Input</w:t>
            </w:r>
          </w:p>
        </w:tc>
        <w:tc>
          <w:tcPr/>
          <w:p>
            <w:pPr>
              <w:pStyle w:val="Compact"/>
            </w:pPr>
            <w:r>
              <w:t xml:space="preserve">ID Output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Botón Algoritmo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Dispara el cálculo iterativo.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Botón Consenso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Calcula valores de consenso.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Botón Compatibilidad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run_metrological_compatibility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Evalúa compatibilidad Ref vs Consenso.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assigned_pollutant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assigned_pollutant_selector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contaminante.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assigned_n_selector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número de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assigned_level_selector</w:t>
            </w:r>
          </w:p>
        </w:tc>
        <w:tc>
          <w:tcPr/>
          <w:p>
            <w:pPr>
              <w:pStyle w:val="Compact"/>
            </w:pPr>
            <w: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nivel de concentración.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Iteraciones Máx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algoA_max_iter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numericInput</w:t>
            </w:r>
          </w:p>
        </w:tc>
        <w:tc>
          <w:tcPr/>
          <w:p>
            <w:pPr>
              <w:pStyle w:val="Compact"/>
            </w:pPr>
            <w:r>
              <w:t xml:space="preserve">Límite para la convergencia del Algo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Referencia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reference_table</w:t>
            </w:r>
          </w:p>
        </w:tc>
        <w:tc>
          <w:tcPr/>
          <w:p>
            <w:pPr>
              <w:pStyle w:val="Compact"/>
            </w:pPr>
            <w: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Valores del laboratorio de referencia.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Consenso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consensus_summary_table</w:t>
            </w:r>
          </w:p>
        </w:tc>
        <w:tc>
          <w:tcPr/>
          <w:p>
            <w:pPr>
              <w:pStyle w:val="Compact"/>
            </w:pPr>
            <w: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Estadísticos median/MADe/nIQR.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Algo 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algoA_result_summary</w:t>
            </w:r>
          </w:p>
        </w:tc>
        <w:tc>
          <w:tcPr/>
          <w:p>
            <w:pPr>
              <w:pStyle w:val="Compact"/>
            </w:pPr>
            <w: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Resultado final de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y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algoA_histogram</w:t>
            </w:r>
          </w:p>
        </w:tc>
        <w:tc>
          <w:tcPr/>
          <w:p>
            <w:pPr>
              <w:pStyle w:val="Compact"/>
            </w:pPr>
            <w: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Distribución de los valores de entrada.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Iteraciones Algo 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algoA_iterations_table</w:t>
            </w:r>
          </w:p>
        </w:tc>
        <w:tc>
          <w:tcPr/>
          <w:p>
            <w:pPr>
              <w:pStyle w:val="Compact"/>
            </w:pPr>
            <w: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Log de convergencia del proceso.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metrological_compatibility_table</w:t>
            </w:r>
          </w:p>
        </w:tc>
        <w:tc>
          <w:tcPr/>
          <w:p>
            <w:pPr>
              <w:pStyle w:val="Compact"/>
            </w:pPr>
            <w: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Tabla de evaluación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  <m:r>
                    <m:t>b</m:t>
                  </m:r>
                </m:sub>
              </m:sSub>
            </m:oMath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detalles-de-implementación-por-método"/>
    <w:p>
      <w:pPr>
        <w:pStyle w:val="Heading2"/>
      </w:pPr>
      <w:r>
        <w:t xml:space="preserve">5. Detalles de Implementación por Método</w:t>
      </w:r>
    </w:p>
    <w:bookmarkStart w:id="15" w:name="método-1-laboratorio-de-referencia"/>
    <w:p>
      <w:pPr>
        <w:pStyle w:val="Heading3"/>
      </w:pPr>
      <w:r>
        <w:t xml:space="preserve">5.1 Método 1: Laboratorio de Referencia</w:t>
      </w:r>
    </w:p>
    <w:p>
      <w:pPr>
        <w:pStyle w:val="FirstParagraph"/>
      </w:pPr>
      <w:r>
        <w:t xml:space="preserve">Filtra los datos cargados buscando el identificador especial</w:t>
      </w:r>
      <w:r>
        <w:t xml:space="preserve"> </w:t>
      </w:r>
      <w:r>
        <w:rPr>
          <w:rStyle w:val="VerbatimChar"/>
        </w:rPr>
        <w:t xml:space="preserve">"ref"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Lógica:</w:t>
      </w:r>
    </w:p>
    <w:p>
      <w:pPr>
        <w:pStyle w:val="SourceCode"/>
      </w:pPr>
      <w:r>
        <w:rPr>
          <w:rStyle w:val="NormalTok"/>
        </w:rPr>
        <w:t xml:space="preserve">reference_table_data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pt_prep_data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(participant_id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(pollutant, level, n_lab)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(mean_value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(mean_value))),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Fórmulas: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 Asignado: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Desviación Estándar: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MADe</m:t>
        </m:r>
        <m:r>
          <m:rPr>
            <m:sty m:val="p"/>
          </m:rPr>
          <m:t>×</m:t>
        </m:r>
        <m:r>
          <m:t>1.483</m:t>
        </m:r>
      </m:oMath>
    </w:p>
    <w:bookmarkEnd w:id="15"/>
    <w:bookmarkStart w:id="16" w:name="métodos-2a-y-2b-consenso-made-niqr"/>
    <w:p>
      <w:pPr>
        <w:pStyle w:val="Heading3"/>
      </w:pPr>
      <w:r>
        <w:t xml:space="preserve">5.2 Métodos 2a y 2b: Consenso (MADe / nIQR)</w:t>
      </w:r>
    </w:p>
    <w:p>
      <w:pPr>
        <w:pStyle w:val="FirstParagraph"/>
      </w:pPr>
      <w:r>
        <w:t xml:space="preserve">Utiliza estadísticos robustos simples cuando no se requiere un proceso iterativo.</w:t>
      </w:r>
    </w:p>
    <w:p>
      <w:pPr>
        <w:pStyle w:val="BodyText"/>
      </w:pPr>
      <w:r>
        <w:rPr>
          <w:b/>
          <w:bCs/>
        </w:rPr>
        <w:t xml:space="preserve">Fórmulas: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 Asignado: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median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Sigma PT (2a - MADe):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1.483</m:t>
        </m:r>
        <m:r>
          <m:rPr>
            <m:sty m:val="p"/>
          </m:rPr>
          <m:t>×</m:t>
        </m:r>
        <m:r>
          <m:rPr>
            <m:nor/>
            <m:sty m:val="p"/>
          </m:rPr>
          <m:t>median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nor/>
            <m:sty m:val="p"/>
          </m:rPr>
          <m:t>median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Sigma PT (2b - nIQR):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0.7413</m:t>
        </m:r>
        <m:r>
          <m:rPr>
            <m:sty m:val="p"/>
          </m:rPr>
          <m:t>×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bookmarkEnd w:id="16"/>
    <w:bookmarkStart w:id="17" w:name="método-3-algoritmo-a"/>
    <w:p>
      <w:pPr>
        <w:pStyle w:val="Heading3"/>
      </w:pPr>
      <w:r>
        <w:t xml:space="preserve">5.3 Método 3: Algoritmo A</w:t>
      </w:r>
    </w:p>
    <w:p>
      <w:pPr>
        <w:pStyle w:val="FirstParagraph"/>
      </w:pPr>
      <w:r>
        <w:t xml:space="preserve">Proceso iterativo según ISO 13528, Anexo C.</w:t>
      </w:r>
    </w:p>
    <w:p>
      <w:pPr>
        <w:pStyle w:val="BodyText"/>
      </w:pPr>
      <w:r>
        <w:rPr>
          <w:b/>
          <w:bCs/>
        </w:rPr>
        <w:t xml:space="preserve">Flujo de Ejecución: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Event as observeEvent(algoA_run)</w:t>
      </w:r>
      <w:r>
        <w:br/>
      </w:r>
      <w:r>
        <w:rPr>
          <w:rStyle w:val="VerbatimChar"/>
        </w:rPr>
        <w:t xml:space="preserve">    participant Data as pt_prep_data()</w:t>
      </w:r>
      <w:r>
        <w:br/>
      </w:r>
      <w:r>
        <w:rPr>
          <w:rStyle w:val="VerbatimChar"/>
        </w:rPr>
        <w:t xml:space="preserve">    participant Calc as ptcalc::run_algorithm_a()</w:t>
      </w:r>
      <w:r>
        <w:br/>
      </w:r>
      <w:r>
        <w:rPr>
          <w:rStyle w:val="VerbatimChar"/>
        </w:rPr>
        <w:t xml:space="preserve">    participant Cache as algoA_results_cache()</w:t>
      </w:r>
      <w:r>
        <w:br/>
      </w:r>
      <w:r>
        <w:br/>
      </w:r>
      <w:r>
        <w:rPr>
          <w:rStyle w:val="VerbatimChar"/>
        </w:rPr>
        <w:t xml:space="preserve">    User-&gt;&gt;Event: Click botón algoA_run</w:t>
      </w:r>
      <w:r>
        <w:br/>
      </w:r>
      <w:r>
        <w:rPr>
          <w:rStyle w:val="VerbatimChar"/>
        </w:rPr>
        <w:t xml:space="preserve">    Event-&gt;&gt;Data: Obtiene valores de participantes (excluye "ref")</w:t>
      </w:r>
      <w:r>
        <w:br/>
      </w:r>
      <w:r>
        <w:rPr>
          <w:rStyle w:val="VerbatimChar"/>
        </w:rPr>
        <w:t xml:space="preserve">    Event-&gt;&gt;Event: Verifica n &gt;= 3</w:t>
      </w:r>
      <w:r>
        <w:br/>
      </w:r>
      <w:r>
        <w:rPr>
          <w:rStyle w:val="VerbatimChar"/>
        </w:rPr>
        <w:t xml:space="preserve">    alt n &lt; 3</w:t>
      </w:r>
      <w:r>
        <w:br/>
      </w:r>
      <w:r>
        <w:rPr>
          <w:rStyle w:val="VerbatimChar"/>
        </w:rPr>
        <w:t xml:space="preserve">        Event-&gt;&gt;Cache: Almacena mensaje de error</w:t>
      </w:r>
      <w:r>
        <w:br/>
      </w:r>
      <w:r>
        <w:rPr>
          <w:rStyle w:val="VerbatimChar"/>
        </w:rPr>
        <w:t xml:space="preserve">    else n &gt;= 3</w:t>
      </w:r>
      <w:r>
        <w:br/>
      </w:r>
      <w:r>
        <w:rPr>
          <w:rStyle w:val="VerbatimChar"/>
        </w:rPr>
        <w:t xml:space="preserve">        Event-&gt;&gt;Calc: Ejecuta iteraciones</w:t>
      </w:r>
      <w:r>
        <w:br/>
      </w:r>
      <w:r>
        <w:rPr>
          <w:rStyle w:val="VerbatimChar"/>
        </w:rPr>
        <w:t xml:space="preserve">        Calc--&gt;&gt;Event: Retorna x*, s* e iteraciones</w:t>
      </w:r>
      <w:r>
        <w:br/>
      </w:r>
      <w:r>
        <w:rPr>
          <w:rStyle w:val="VerbatimChar"/>
        </w:rPr>
        <w:t xml:space="preserve">        Event-&gt;&gt;Cache: Almacena resultados con clave (pollutant||n||level)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Cache-&gt;&gt;User: Actualiza UI con resultados</w:t>
      </w:r>
    </w:p>
    <w:p>
      <w:pPr>
        <w:pStyle w:val="FirstParagraph"/>
      </w:pPr>
      <w:r>
        <w:rPr>
          <w:b/>
          <w:bCs/>
        </w:rPr>
        <w:t xml:space="preserve">Mecanismo de Caché:</w:t>
      </w:r>
      <w:r>
        <w:t xml:space="preserve"> </w:t>
      </w:r>
      <w:r>
        <w:t xml:space="preserve">Para evitar recalcular en cada cambio menor de la UI, los resultados se almacenan en un</w:t>
      </w:r>
      <w:r>
        <w:t xml:space="preserve"> </w:t>
      </w:r>
      <w:r>
        <w:rPr>
          <w:rStyle w:val="VerbatimChar"/>
        </w:rPr>
        <w:t xml:space="preserve">reactiveVal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Clave:</w:t>
      </w:r>
      <w:r>
        <w:t xml:space="preserve"> </w:t>
      </w:r>
      <w:r>
        <w:rPr>
          <w:rStyle w:val="VerbatimChar"/>
        </w:rPr>
        <w:t xml:space="preserve">"pollutant||n_lab||level"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Limpieza:</w:t>
      </w:r>
      <w:r>
        <w:t xml:space="preserve"> </w:t>
      </w:r>
      <w:r>
        <w:t xml:space="preserve">El caché se vacía automáticamente si</w:t>
      </w:r>
      <w:r>
        <w:t xml:space="preserve"> </w:t>
      </w:r>
      <w:r>
        <w:rPr>
          <w:rStyle w:val="VerbatimChar"/>
        </w:rPr>
        <w:t xml:space="preserve">pt_prep_data()</w:t>
      </w:r>
      <w:r>
        <w:t xml:space="preserve"> </w:t>
      </w:r>
      <w:r>
        <w:t xml:space="preserve">(los datos de entrada) cambian.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álculo-de-incertidumbre-u_xpt"/>
    <w:p>
      <w:pPr>
        <w:pStyle w:val="Heading2"/>
      </w:pPr>
      <w:r>
        <w:t xml:space="preserve">6. Cálculo de Incertidumbre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</w:t>
      </w:r>
    </w:p>
    <w:bookmarkStart w:id="19" w:name="incertidumbre-estadística-del-método"/>
    <w:p>
      <w:pPr>
        <w:pStyle w:val="Heading3"/>
      </w:pPr>
      <w:r>
        <w:t xml:space="preserve">6.1 Incertidumbre Estadística del Método</w:t>
      </w:r>
    </w:p>
    <w:p>
      <w:pPr>
        <w:pStyle w:val="FirstParagraph"/>
      </w:pPr>
      <w:r>
        <w:t xml:space="preserve">Para los métodos de consenso y Algoritmo A, la incertidumbre estándar se calcula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1.25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el número de participantes.</w:t>
      </w:r>
    </w:p>
    <w:bookmarkEnd w:id="19"/>
    <w:bookmarkStart w:id="20" w:name="incertidumbre-combinada-definitiva"/>
    <w:p>
      <w:pPr>
        <w:pStyle w:val="Heading3"/>
      </w:pPr>
      <w:r>
        <w:t xml:space="preserve">6.2 Incertidumbre Combinada (Definitiva)</w:t>
      </w:r>
    </w:p>
    <w:p>
      <w:pPr>
        <w:pStyle w:val="FirstParagraph"/>
      </w:pPr>
      <w:r>
        <w:t xml:space="preserve">La incertidumbre total del valor asignado considera los componentes de homogeneidad y estabilidad: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(desviación estándar entre muestras del estudio de homogeneidad).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t xml:space="preserve">(diferencia de medias del estudio de estabilidad).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mpatibilidad-metrológica"/>
    <w:p>
      <w:pPr>
        <w:pStyle w:val="Heading2"/>
      </w:pPr>
      <w:r>
        <w:t xml:space="preserve">7. Compatibilidad Metrológica</w:t>
      </w:r>
    </w:p>
    <w:p>
      <w:pPr>
        <w:pStyle w:val="FirstParagraph"/>
      </w:pPr>
      <w:r>
        <w:t xml:space="preserve">Evalúa si existe un sesgo significativo entre el valor de referencia y los valores de consenso.</w:t>
      </w:r>
    </w:p>
    <w:p>
      <w:pPr>
        <w:pStyle w:val="BodyText"/>
      </w:pPr>
      <w:r>
        <w:rPr>
          <w:b/>
          <w:bCs/>
        </w:rPr>
        <w:t xml:space="preserve">Fórmula de Evaluación (</w:t>
      </w:r>
      <m:oMath>
        <m:r>
          <m:t>D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t>s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s</m:t>
                      </m:r>
                      <m:r>
                        <m:t>o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Criterio de Aceptación: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Compatible (no hay evidencia de sesgo).</w:t>
      </w:r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Cuestionable.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No compatible (indica sesgo significativo entre métodos).</w:t>
      </w:r>
    </w:p>
    <w:p>
      <w:pPr>
        <w:pStyle w:val="BodyText"/>
      </w:pPr>
      <w:r>
        <w:t xml:space="preserve">Alternativamente, el sistema evalúa el cumplimiento del criterio: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o</m:t>
              </m:r>
              <m:r>
                <m:t>n</m:t>
              </m:r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o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sSubSup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t>e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3" w:name="arquitectura-reactiva-del-módulo"/>
    <w:p>
      <w:pPr>
        <w:pStyle w:val="Heading2"/>
      </w:pPr>
      <w:r>
        <w:t xml:space="preserve">8. Arquitectura Reactiva del Módulo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Entrada</w:t>
      </w:r>
      <w:r>
        <w:br/>
      </w:r>
      <w:r>
        <w:rPr>
          <w:rStyle w:val="VerbatimChar"/>
        </w:rPr>
        <w:t xml:space="preserve">        SUMMARY[input$summary_files] --&gt; PT_PREP[pt_prep_data]</w:t>
      </w:r>
      <w:r>
        <w:br/>
      </w:r>
      <w:r>
        <w:rPr>
          <w:rStyle w:val="VerbatimChar"/>
        </w:rPr>
        <w:t xml:space="preserve">        ALGO_BTN[input$algoA_run] --&gt; ALGO_OBS[observeEvent algoA_run]</w:t>
      </w:r>
      <w:r>
        <w:br/>
      </w:r>
      <w:r>
        <w:rPr>
          <w:rStyle w:val="VerbatimChar"/>
        </w:rPr>
        <w:t xml:space="preserve">        CONS_BTN[input$consensus_run] --&gt; CONS_OBS[Lógica en compute_scores_for_selection]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Procesamiento</w:t>
      </w:r>
      <w:r>
        <w:br/>
      </w:r>
      <w:r>
        <w:rPr>
          <w:rStyle w:val="VerbatimChar"/>
        </w:rPr>
        <w:t xml:space="preserve">        ALGO_OBS --&gt; ALGO_CACHE[algoA_results_cache]</w:t>
      </w:r>
      <w:r>
        <w:br/>
      </w:r>
      <w:r>
        <w:rPr>
          <w:rStyle w:val="VerbatimChar"/>
        </w:rPr>
        <w:t xml:space="preserve">        CONS_OBS --&gt; SCORES[Cálculo de Score z/z'/zeta/En]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Salida</w:t>
      </w:r>
      <w:r>
        <w:br/>
      </w:r>
      <w:r>
        <w:rPr>
          <w:rStyle w:val="VerbatimChar"/>
        </w:rPr>
        <w:t xml:space="preserve">        ALGO_CACHE --&gt; OUT_ALGO[output$algoA_result_summary]</w:t>
      </w:r>
      <w:r>
        <w:br/>
      </w:r>
      <w:r>
        <w:rPr>
          <w:rStyle w:val="VerbatimChar"/>
        </w:rPr>
        <w:t xml:space="preserve">        ALGO_CACHE --&gt; OUT_ITER[output$algoA_iterations_table]</w:t>
      </w:r>
      <w:r>
        <w:br/>
      </w:r>
      <w:r>
        <w:rPr>
          <w:rStyle w:val="VerbatimChar"/>
        </w:rPr>
        <w:t xml:space="preserve">        PT_PREP --&gt; OUT_CONS[output$consensus_summary_table]</w:t>
      </w:r>
      <w:r>
        <w:br/>
      </w:r>
      <w:r>
        <w:rPr>
          <w:rStyle w:val="VerbatimChar"/>
        </w:rPr>
        <w:t xml:space="preserve">        PT_PREP --&gt; OUT_REF[output$reference_table]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3"/>
    <w:bookmarkStart w:id="24" w:name="estados-de-error-y-validación"/>
    <w:p>
      <w:pPr>
        <w:pStyle w:val="Heading2"/>
      </w:pPr>
      <w:r>
        <w:t xml:space="preserve">9. Estados de Error y Validación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insuficientes</w:t>
            </w:r>
          </w:p>
        </w:tc>
        <w:tc>
          <w:tcPr/>
          <w:p>
            <w:pPr>
              <w:pStyle w:val="Compact"/>
            </w:pPr>
            <w:r>
              <w:t xml:space="preserve">“Se requieren al menos tres participantes para ejecutar el Algoritmo A”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t xml:space="preserve"> </w:t>
            </w:r>
            <w:r>
              <w:t xml:space="preserve">en el nivel seleccionado.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referencia</w:t>
            </w:r>
          </w:p>
        </w:tc>
        <w:tc>
          <w:tcPr/>
          <w:p>
            <w:pPr>
              <w:pStyle w:val="Compact"/>
            </w:pPr>
            <w:r>
              <w:t xml:space="preserve">“No se encontró información del participante de referencia”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participant_id == "ref"</w:t>
            </w:r>
            <w:r>
              <w:t xml:space="preserve"> </w:t>
            </w:r>
            <w:r>
              <w:t xml:space="preserve">en los archivos.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de convergencia</w:t>
            </w:r>
          </w:p>
        </w:tc>
        <w:tc>
          <w:tcPr/>
          <w:p>
            <w:pPr>
              <w:pStyle w:val="Compact"/>
            </w:pPr>
            <w:r>
              <w:t xml:space="preserve">“El Algoritmo A no convergió en el número máximo de iteraciones”</w:t>
            </w:r>
          </w:p>
        </w:tc>
        <w:tc>
          <w:tcPr/>
          <w:p>
            <w:pPr>
              <w:pStyle w:val="Compact"/>
            </w:pPr>
            <w:r>
              <w:t xml:space="preserve">Datos con variabilidad extrema.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ferencias"/>
    <w:p>
      <w:pPr>
        <w:pStyle w:val="Heading2"/>
      </w:pPr>
      <w:r>
        <w:t xml:space="preserve">10. Referencias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 13528:2022</w:t>
      </w:r>
      <w:r>
        <w:t xml:space="preserve">: Métodos estadísticos para su uso en ensayos de aptitud por comparación interlaboratorios.</w:t>
      </w:r>
    </w:p>
    <w:p>
      <w:pPr>
        <w:pStyle w:val="Compact"/>
        <w:numPr>
          <w:ilvl w:val="1"/>
          <w:numId w:val="1002"/>
        </w:numPr>
      </w:pPr>
      <w:r>
        <w:t xml:space="preserve">Sección 6.3: Valor asignado por consenso de participantes.</w:t>
      </w:r>
    </w:p>
    <w:p>
      <w:pPr>
        <w:pStyle w:val="Compact"/>
        <w:numPr>
          <w:ilvl w:val="1"/>
          <w:numId w:val="1002"/>
        </w:numPr>
      </w:pPr>
      <w:r>
        <w:t xml:space="preserve">Sección 6.5: Incertidumbre del valor asignado.</w:t>
      </w:r>
    </w:p>
    <w:p>
      <w:pPr>
        <w:pStyle w:val="Compact"/>
        <w:numPr>
          <w:ilvl w:val="1"/>
          <w:numId w:val="1002"/>
        </w:numPr>
      </w:pPr>
      <w:r>
        <w:t xml:space="preserve">Anexo C: Algoritmo 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17043:2024</w:t>
      </w:r>
      <w:r>
        <w:t xml:space="preserve">: Evaluación de la conformidad — Requisitos generales para los ensayos de aptitud.</w:t>
      </w:r>
    </w:p>
    <w:p>
      <w:r>
        <w:pict>
          <v:rect style="width:0;height:1.5pt" o:hralign="center" o:hrstd="t" o:hr="t"/>
        </w:pict>
      </w:r>
    </w:p>
    <w:bookmarkEnd w:id="25"/>
    <w:bookmarkStart w:id="30" w:name="referencias-cruzadas"/>
    <w:p>
      <w:pPr>
        <w:pStyle w:val="Heading2"/>
      </w:pPr>
      <w:r>
        <w:t xml:space="preserve">11. Referencias Cruzadas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Estadísticos Robustos:</w:t>
      </w:r>
      <w:r>
        <w:t xml:space="preserve"> </w:t>
      </w:r>
      <w:hyperlink r:id="rId26">
        <w:r>
          <w:rPr>
            <w:rStyle w:val="Hyperlink"/>
          </w:rPr>
          <w:t xml:space="preserve">03_estadisticas_robustas_pt.md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Carga de Datos:</w:t>
      </w:r>
      <w:r>
        <w:t xml:space="preserve"> </w:t>
      </w:r>
      <w:hyperlink r:id="rId27">
        <w:r>
          <w:rPr>
            <w:rStyle w:val="Hyperlink"/>
          </w:rPr>
          <w:t xml:space="preserve">01_carga_datos.md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Cálculo de Puntajes PT:</w:t>
      </w:r>
      <w:r>
        <w:t xml:space="preserve"> </w:t>
      </w:r>
      <w:hyperlink r:id="rId28">
        <w:r>
          <w:rPr>
            <w:rStyle w:val="Hyperlink"/>
          </w:rPr>
          <w:t xml:space="preserve">05_puntajes_pt.md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Glosario:</w:t>
      </w:r>
      <w:r>
        <w:t xml:space="preserve"> </w:t>
      </w:r>
      <w:hyperlink r:id="rId29">
        <w:r>
          <w:rPr>
            <w:rStyle w:val="Hyperlink"/>
          </w:rPr>
          <w:t xml:space="preserve">00_glosario.md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00_glosario.md" TargetMode="External" /><Relationship Type="http://schemas.openxmlformats.org/officeDocument/2006/relationships/hyperlink" Id="rId27" Target="01_carga_datos.md" TargetMode="External" /><Relationship Type="http://schemas.openxmlformats.org/officeDocument/2006/relationships/hyperlink" Id="rId26" Target="03_estadisticas_robustas_pt.md" TargetMode="External" /><Relationship Type="http://schemas.openxmlformats.org/officeDocument/2006/relationships/hyperlink" Id="rId28" Target="05_puntajes_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00_glosario.md" TargetMode="External" /><Relationship Type="http://schemas.openxmlformats.org/officeDocument/2006/relationships/hyperlink" Id="rId27" Target="01_carga_datos.md" TargetMode="External" /><Relationship Type="http://schemas.openxmlformats.org/officeDocument/2006/relationships/hyperlink" Id="rId26" Target="03_estadisticas_robustas_pt.md" TargetMode="External" /><Relationship Type="http://schemas.openxmlformats.org/officeDocument/2006/relationships/hyperlink" Id="rId28" Target="05_puntajes_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2026-01-29T03:50:32Z</dcterms:created>
  <dcterms:modified xsi:type="dcterms:W3CDTF">2026-01-29T03:50:32Z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