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ódulo-compatibilidad-metrológica"/>
    <w:p>
      <w:pPr>
        <w:pStyle w:val="Heading1"/>
      </w:pPr>
      <w:r>
        <w:t xml:space="preserve">Módulo: Compatibilidad Metrológica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Evalúa la coherencia entre el valor de referencia y los valores de consenso calculados por diferentes métodos (MADe, nIQR, Algoritmo A). Esta comparación permite validar la consistencia metodológica entre el valor asignado de referencia y los métodos de consenso, asegurando que las diferencias entre métodos sean estadísticamente aceptables.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Pestaña UI</w:t>
            </w:r>
          </w:p>
        </w:tc>
        <w:tc>
          <w:tcPr/>
          <w:p>
            <w:pPr>
              <w:pStyle w:val="Compact"/>
            </w:pPr>
            <w:r>
              <w:t xml:space="preserve">“Compatibilidad Metrológica”</w:t>
            </w:r>
            <w:r>
              <w:t xml:space="preserve"> </w:t>
            </w:r>
            <w:r>
              <w:t xml:space="preserve">(dentro de Valor Asignado)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UI</w:t>
            </w:r>
          </w:p>
        </w:tc>
        <w:tc>
          <w:tcPr/>
          <w:p>
            <w:pPr>
              <w:pStyle w:val="Compact"/>
            </w:pPr>
            <w:r>
              <w:t xml:space="preserve">~990-993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Lógica</w:t>
            </w:r>
          </w:p>
        </w:tc>
        <w:tc>
          <w:tcPr/>
          <w:p>
            <w:pPr>
              <w:pStyle w:val="Compact"/>
            </w:pPr>
            <w:r>
              <w:t xml:space="preserve">Cálculo en generación de informes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Normas ISO</w:t>
            </w:r>
          </w:p>
        </w:tc>
        <w:tc>
          <w:tcPr/>
          <w:p>
            <w:pPr>
              <w:pStyle w:val="Compact"/>
            </w:pPr>
            <w:r>
              <w:t xml:space="preserve">ISO 13528:2022 Sección 9</w:t>
            </w:r>
          </w:p>
        </w:tc>
      </w:tr>
    </w:tbl>
    <w:bookmarkEnd w:id="9"/>
    <w:bookmarkStart w:id="12" w:name="ubicación-en-la-interfaz"/>
    <w:p>
      <w:pPr>
        <w:pStyle w:val="Heading2"/>
      </w:pPr>
      <w:r>
        <w:t xml:space="preserve">2. Ubicación en la Interfaz</w:t>
      </w:r>
    </w:p>
    <w:p>
      <w:pPr>
        <w:pStyle w:val="FirstParagraph"/>
      </w:pPr>
      <w:r>
        <w:t xml:space="preserve">El módulo se encuentra en la pestaña</w:t>
      </w:r>
      <w:r>
        <w:t xml:space="preserve"> </w:t>
      </w:r>
      <w:r>
        <w:rPr>
          <w:b/>
          <w:bCs/>
        </w:rPr>
        <w:t xml:space="preserve">“Valor asignado”</w:t>
      </w:r>
      <w:r>
        <w:t xml:space="preserve"> </w:t>
      </w:r>
      <w:r>
        <w:t xml:space="preserve">→ sub-pestaña</w:t>
      </w:r>
      <w:r>
        <w:t xml:space="preserve"> </w:t>
      </w:r>
      <w:r>
        <w:rPr>
          <w:b/>
          <w:bCs/>
        </w:rPr>
        <w:t xml:space="preserve">“Compatibilidad Metrológica”</w:t>
      </w:r>
      <w:r>
        <w:t xml:space="preserve">.</w:t>
      </w:r>
    </w:p>
    <w:bookmarkStart w:id="10" w:name="botón-de-acción"/>
    <w:p>
      <w:pPr>
        <w:pStyle w:val="Heading3"/>
      </w:pPr>
      <w:r>
        <w:t xml:space="preserve">2.1 Botón de Acción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run_metrological_compatibility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Función</w:t>
      </w:r>
      <w:r>
        <w:t xml:space="preserve">: Activa el cálculo de diferencias entre métodos</w:t>
      </w:r>
    </w:p>
    <w:bookmarkEnd w:id="10"/>
    <w:bookmarkStart w:id="11" w:name="tabla-de-resultados"/>
    <w:p>
      <w:pPr>
        <w:pStyle w:val="Heading3"/>
      </w:pPr>
      <w:r>
        <w:t xml:space="preserve">2.2 Tabla de Resultados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 ID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metrological_compatibility_table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Tipo</w:t>
      </w:r>
      <w:r>
        <w:t xml:space="preserve">: DataTable interactiva</w:t>
      </w:r>
    </w:p>
    <w:bookmarkEnd w:id="11"/>
    <w:bookmarkEnd w:id="12"/>
    <w:bookmarkStart w:id="13" w:name="métodos-de-consenso-comparados"/>
    <w:p>
      <w:pPr>
        <w:pStyle w:val="Heading2"/>
      </w:pPr>
      <w:r>
        <w:t xml:space="preserve">3. Métodos de Consenso Comparados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x_pt Calculation</w:t>
            </w:r>
          </w:p>
        </w:tc>
        <w:tc>
          <w:tcPr/>
          <w:p>
            <w:pPr>
              <w:pStyle w:val="Compact"/>
            </w:pPr>
            <w:r>
              <w:t xml:space="preserve">σ_pt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Consenso MADe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median(valores)</w:t>
            </w:r>
          </w:p>
        </w:tc>
        <w:tc>
          <w:tcPr/>
          <w:p>
            <w:pPr>
              <w:pStyle w:val="Compact"/>
            </w:pPr>
            <w:r>
              <w:t xml:space="preserve">1.483 × MAD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Consenso nIQR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median(valores)</w:t>
            </w:r>
          </w:p>
        </w:tc>
        <w:tc>
          <w:tcPr/>
          <w:p>
            <w:pPr>
              <w:pStyle w:val="Compact"/>
            </w:pPr>
            <w:r>
              <w:t xml:space="preserve">0.7413 × IQR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x* (robust mean)</w:t>
            </w:r>
          </w:p>
        </w:tc>
        <w:tc>
          <w:tcPr/>
          <w:p>
            <w:pPr>
              <w:pStyle w:val="Compact"/>
            </w:pPr>
            <w:r>
              <w:t xml:space="preserve">s* (robust sd)</w:t>
            </w:r>
          </w:p>
        </w:tc>
      </w:tr>
    </w:tbl>
    <w:bookmarkEnd w:id="13"/>
    <w:bookmarkStart w:id="16" w:name="cálculo-de-diferencias"/>
    <w:p>
      <w:pPr>
        <w:pStyle w:val="Heading2"/>
      </w:pPr>
      <w:r>
        <w:t xml:space="preserve">4. Cálculo de Diferencias</w:t>
      </w:r>
    </w:p>
    <w:bookmarkStart w:id="14" w:name="diferencias-absolutas"/>
    <w:p>
      <w:pPr>
        <w:pStyle w:val="Heading3"/>
      </w:pPr>
      <w:r>
        <w:t xml:space="preserve">4.1 Diferencias Absolutas</w:t>
      </w:r>
    </w:p>
    <w:p>
      <w:pPr>
        <w:pStyle w:val="FirstParagraph"/>
      </w:pPr>
      <w:r>
        <w:t xml:space="preserve">Para cada combinación (pollutant, n_lab, level):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a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b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|</m:t>
          </m:r>
        </m:oMath>
      </m:oMathPara>
    </w:p>
    <w:bookmarkEnd w:id="14"/>
    <w:bookmarkStart w:id="15" w:name="X33f0ac37771b0519e1a6844abe003ac6a0626e3"/>
    <w:p>
      <w:pPr>
        <w:pStyle w:val="Heading3"/>
      </w:pPr>
      <w:r>
        <w:t xml:space="preserve">4.2 Criterio de Evaluación (Opcional - Implementación Futura)</w:t>
      </w:r>
    </w:p>
    <w:p>
      <w:pPr>
        <w:pStyle w:val="FirstParagraph"/>
      </w:pPr>
      <w:r>
        <w:t xml:space="preserve">La evaluación de compatibilidad puede usar: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r</m:t>
          </m:r>
          <m:r>
            <m:t>i</m:t>
          </m:r>
          <m:r>
            <m:t>t</m:t>
          </m:r>
          <m:r>
            <m:t>e</m:t>
          </m:r>
          <m:r>
            <m:t>r</m:t>
          </m:r>
          <m:r>
            <m:t>i</m:t>
          </m:r>
          <m:r>
            <m:t>o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Compatible si</w:t>
      </w:r>
      <w:r>
        <w:t xml:space="preserve">: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C</m:t>
        </m:r>
        <m:r>
          <m:t>r</m:t>
        </m:r>
        <m:r>
          <m:t>i</m:t>
        </m:r>
        <m:r>
          <m:t>t</m:t>
        </m:r>
        <m:r>
          <m:t>e</m:t>
        </m:r>
        <m:r>
          <m:t>r</m:t>
        </m:r>
        <m:r>
          <m:t>i</m:t>
        </m:r>
        <m:r>
          <m:t>o</m:t>
        </m:r>
      </m:oMath>
    </w:p>
    <w:bookmarkEnd w:id="15"/>
    <w:bookmarkEnd w:id="16"/>
    <w:bookmarkStart w:id="18" w:name="estructura-de-datos-de-salida"/>
    <w:p>
      <w:pPr>
        <w:pStyle w:val="Heading2"/>
      </w:pPr>
      <w:r>
        <w:t xml:space="preserve">5. Estructura de Datos de Salida</w:t>
      </w:r>
    </w:p>
    <w:bookmarkStart w:id="17" w:name="tabla-de-compatibilidad"/>
    <w:p>
      <w:pPr>
        <w:pStyle w:val="Heading3"/>
      </w:pPr>
      <w:r>
        <w:t xml:space="preserve">5.1 Tabla de Compatibilidad</w:t>
      </w:r>
    </w:p>
    <w:p>
      <w:pPr>
        <w:pStyle w:val="FirstParagraph"/>
      </w:pPr>
      <w:r>
        <w:t xml:space="preserve">Columnas generadas: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pollutant</w:t>
      </w:r>
      <w:r>
        <w:t xml:space="preserve">: Contaminante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n_lab</w:t>
      </w:r>
      <w:r>
        <w:t xml:space="preserve">: Esquema de ensayo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: Nivel de concentración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x_pt_ref</w:t>
      </w:r>
      <w:r>
        <w:t xml:space="preserve">: Valor de referencia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x_pt_2a</w:t>
      </w:r>
      <w:r>
        <w:t xml:space="preserve">: Valor consenso MADe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x_pt_2b</w:t>
      </w:r>
      <w:r>
        <w:t xml:space="preserve">: Valor consenso nIQR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x_pt_3</w:t>
      </w:r>
      <w:r>
        <w:t xml:space="preserve">: Valor consenso Algoritmo 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Diff_Ref_2a</w:t>
      </w:r>
      <w:r>
        <w:t xml:space="preserve">: |x_pt_ref - x_pt_2a|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Diff_Ref_2b</w:t>
      </w:r>
      <w:r>
        <w:t xml:space="preserve">: |x_pt_ref - x_pt_2b|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Diff_Ref_3</w:t>
      </w:r>
      <w:r>
        <w:t xml:space="preserve">: |x_pt_ref - x_pt_3|</w:t>
      </w:r>
    </w:p>
    <w:bookmarkEnd w:id="17"/>
    <w:bookmarkEnd w:id="18"/>
    <w:bookmarkStart w:id="21" w:name="integración-con-generación-de-informes"/>
    <w:p>
      <w:pPr>
        <w:pStyle w:val="Heading2"/>
      </w:pPr>
      <w:r>
        <w:t xml:space="preserve">6. Integración con Generación de Informes</w:t>
      </w:r>
    </w:p>
    <w:bookmarkStart w:id="19" w:name="parámetro-del-reporte"/>
    <w:p>
      <w:pPr>
        <w:pStyle w:val="Heading3"/>
      </w:pPr>
      <w:r>
        <w:t xml:space="preserve">6.1 Parámetro del Reporte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metrological_compatibility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</w:t>
      </w:r>
      <w:r>
        <w:rPr>
          <w:rStyle w:val="CommentTok"/>
        </w:rPr>
        <w:t xml:space="preserve">  # Data frame con diferencias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metrological_compatibility_method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"2a"</w:t>
      </w:r>
      <w:r>
        <w:rPr>
          <w:rStyle w:val="CommentTok"/>
        </w:rPr>
        <w:t xml:space="preserve">  # Método seleccionado</w:t>
      </w:r>
    </w:p>
    <w:bookmarkEnd w:id="19"/>
    <w:bookmarkStart w:id="20" w:name="sección-en-el-informe"/>
    <w:p>
      <w:pPr>
        <w:pStyle w:val="Heading3"/>
      </w:pPr>
      <w:r>
        <w:t xml:space="preserve">6.2 Sección en el Informe</w:t>
      </w:r>
    </w:p>
    <w:p>
      <w:pPr>
        <w:pStyle w:val="FirstParagraph"/>
      </w:pPr>
      <w:r>
        <w:t xml:space="preserve">Ubicación: report_template.Rmd, líneas 312-361</w:t>
      </w:r>
    </w:p>
    <w:p>
      <w:pPr>
        <w:pStyle w:val="BodyText"/>
      </w:pPr>
      <w:r>
        <w:t xml:space="preserve">Título:</w:t>
      </w:r>
      <w:r>
        <w:t xml:space="preserve"> </w:t>
      </w:r>
      <w:r>
        <w:t xml:space="preserve">“2.4. Compatibilidad Metrológica”</w:t>
      </w:r>
    </w:p>
    <w:p>
      <w:pPr>
        <w:pStyle w:val="BodyText"/>
      </w:pPr>
      <w:r>
        <w:t xml:space="preserve">La tabla mostrada se filtra según</w:t>
      </w:r>
      <w:r>
        <w:t xml:space="preserve"> </w:t>
      </w:r>
      <w:r>
        <w:rPr>
          <w:rStyle w:val="VerbatimChar"/>
        </w:rPr>
        <w:t xml:space="preserve">metrological_compatibility_method</w:t>
      </w:r>
      <w:r>
        <w:t xml:space="preserve">.</w:t>
      </w:r>
    </w:p>
    <w:bookmarkEnd w:id="20"/>
    <w:bookmarkEnd w:id="21"/>
    <w:bookmarkStart w:id="22" w:name="flujo-de-trabajo"/>
    <w:p>
      <w:pPr>
        <w:pStyle w:val="Heading2"/>
      </w:pPr>
      <w:r>
        <w:t xml:space="preserve">7. Flujo de Trabajo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A[Usuario selecciona n_lab, level] --&gt; B[Clic en Calcular Algoritmo A]</w:t>
      </w:r>
      <w:r>
        <w:br/>
      </w:r>
      <w:r>
        <w:rPr>
          <w:rStyle w:val="VerbatimChar"/>
        </w:rPr>
        <w:t xml:space="preserve">    B --&gt; C[Clic en Calcular Valores Consenso]</w:t>
      </w:r>
      <w:r>
        <w:br/>
      </w:r>
      <w:r>
        <w:rPr>
          <w:rStyle w:val="VerbatimChar"/>
        </w:rPr>
        <w:t xml:space="preserve">    C --&gt; D[Clic en Calcular Compatibilidad]</w:t>
      </w:r>
      <w:r>
        <w:br/>
      </w:r>
      <w:r>
        <w:rPr>
          <w:rStyle w:val="VerbatimChar"/>
        </w:rPr>
        <w:t xml:space="preserve">    D --&gt; E[Sistema recupera x_pt de Reference]</w:t>
      </w:r>
      <w:r>
        <w:br/>
      </w:r>
      <w:r>
        <w:rPr>
          <w:rStyle w:val="VerbatimChar"/>
        </w:rPr>
        <w:t xml:space="preserve">    D --&gt; F[Sistema recupera x_pt de Consensus cache]</w:t>
      </w:r>
      <w:r>
        <w:br/>
      </w:r>
      <w:r>
        <w:rPr>
          <w:rStyle w:val="VerbatimChar"/>
        </w:rPr>
        <w:t xml:space="preserve">    D --&gt; G[Sistema recupera x_pt de AlgoA cache]</w:t>
      </w:r>
      <w:r>
        <w:br/>
      </w:r>
      <w:r>
        <w:rPr>
          <w:rStyle w:val="VerbatimChar"/>
        </w:rPr>
        <w:t xml:space="preserve">    E --&gt; H[Calcula diferencias D_2a, D_2b, D_3]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--&gt; I[Tabla de compatibilidad]</w:t>
      </w:r>
      <w:r>
        <w:br/>
      </w:r>
      <w:r>
        <w:rPr>
          <w:rStyle w:val="VerbatimChar"/>
        </w:rPr>
        <w:t xml:space="preserve">    I --&gt; J[Exportación a informe]</w:t>
      </w:r>
    </w:p>
    <w:bookmarkEnd w:id="22"/>
    <w:bookmarkStart w:id="25" w:name="casos-de-uso"/>
    <w:p>
      <w:pPr>
        <w:pStyle w:val="Heading2"/>
      </w:pPr>
      <w:r>
        <w:t xml:space="preserve">8. Casos de Uso</w:t>
      </w:r>
    </w:p>
    <w:bookmarkStart w:id="23" w:name="validación-de-método-de-consenso"/>
    <w:p>
      <w:pPr>
        <w:pStyle w:val="Heading3"/>
      </w:pPr>
      <w:r>
        <w:t xml:space="preserve">8.1 Validación de Método de Consenso</w:t>
      </w:r>
    </w:p>
    <w:p>
      <w:pPr>
        <w:pStyle w:val="FirstParagraph"/>
      </w:pPr>
      <w:r>
        <w:t xml:space="preserve">Objetivo: Determinar si consenso y referencia están alineados</w:t>
      </w:r>
    </w:p>
    <w:p>
      <w:pPr>
        <w:pStyle w:val="BodyText"/>
      </w:pPr>
      <w:r>
        <w:t xml:space="preserve">Acción: Revisar si D_2a, D_2b, D_3 &lt; umbral aceptable</w:t>
      </w:r>
    </w:p>
    <w:bookmarkEnd w:id="23"/>
    <w:bookmarkStart w:id="24" w:name="selección-de-método-para-reporte"/>
    <w:p>
      <w:pPr>
        <w:pStyle w:val="Heading3"/>
      </w:pPr>
      <w:r>
        <w:t xml:space="preserve">8.2 Selección de Método para Reporte</w:t>
      </w:r>
    </w:p>
    <w:p>
      <w:pPr>
        <w:pStyle w:val="FirstParagraph"/>
      </w:pPr>
      <w:r>
        <w:t xml:space="preserve">Objetivo: Elegir método de consenso más compatible con referencia</w:t>
      </w:r>
    </w:p>
    <w:p>
      <w:pPr>
        <w:pStyle w:val="BodyText"/>
      </w:pPr>
      <w:r>
        <w:t xml:space="preserve">Acción: Comparar D_2a vs D_2b vs D_3, seleccionar el menor</w:t>
      </w:r>
    </w:p>
    <w:bookmarkEnd w:id="24"/>
    <w:bookmarkEnd w:id="25"/>
    <w:bookmarkStart w:id="29" w:name="referencias-cruzadas"/>
    <w:p>
      <w:pPr>
        <w:pStyle w:val="Heading2"/>
      </w:pPr>
      <w:r>
        <w:t xml:space="preserve">9. Referencias Cruzadas</w:t>
      </w:r>
    </w:p>
    <w:p>
      <w:pPr>
        <w:pStyle w:val="Compact"/>
        <w:numPr>
          <w:ilvl w:val="0"/>
          <w:numId w:val="1003"/>
        </w:numPr>
      </w:pPr>
      <w:r>
        <w:t xml:space="preserve">Valor Asignado:</w:t>
      </w:r>
      <w:r>
        <w:t xml:space="preserve"> </w:t>
      </w:r>
      <w:hyperlink r:id="rId26">
        <w:r>
          <w:rPr>
            <w:rStyle w:val="Hyperlink"/>
          </w:rPr>
          <w:t xml:space="preserve">07_valor_asignado.md</w:t>
        </w:r>
      </w:hyperlink>
    </w:p>
    <w:p>
      <w:pPr>
        <w:pStyle w:val="Compact"/>
        <w:numPr>
          <w:ilvl w:val="0"/>
          <w:numId w:val="1003"/>
        </w:numPr>
      </w:pPr>
      <w:r>
        <w:t xml:space="preserve">Generación de Informes:</w:t>
      </w:r>
      <w:r>
        <w:t xml:space="preserve"> </w:t>
      </w:r>
      <w:hyperlink r:id="rId27">
        <w:r>
          <w:rPr>
            <w:rStyle w:val="Hyperlink"/>
          </w:rPr>
          <w:t xml:space="preserve">12_generacion_informes.md</w:t>
        </w:r>
      </w:hyperlink>
    </w:p>
    <w:p>
      <w:pPr>
        <w:pStyle w:val="Compact"/>
        <w:numPr>
          <w:ilvl w:val="0"/>
          <w:numId w:val="1003"/>
        </w:numPr>
      </w:pPr>
      <w:r>
        <w:t xml:space="preserve">Report Template:</w:t>
      </w:r>
      <w:r>
        <w:t xml:space="preserve"> </w:t>
      </w:r>
      <w:hyperlink r:id="rId28">
        <w:r>
          <w:rPr>
            <w:rStyle w:val="Hyperlink"/>
          </w:rPr>
          <w:t xml:space="preserve">14_plantilla_informe.md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07_valor_asignado.md" TargetMode="External" /><Relationship Type="http://schemas.openxmlformats.org/officeDocument/2006/relationships/hyperlink" Id="rId27" Target="12_generacion_informes.md" TargetMode="External" /><Relationship Type="http://schemas.openxmlformats.org/officeDocument/2006/relationships/hyperlink" Id="rId28" Target="14_plantilla_infor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07_valor_asignado.md" TargetMode="External" /><Relationship Type="http://schemas.openxmlformats.org/officeDocument/2006/relationships/hyperlink" Id="rId27" Target="12_generacion_informes.md" TargetMode="External" /><Relationship Type="http://schemas.openxmlformats.org/officeDocument/2006/relationships/hyperlink" Id="rId28" Target="14_plantilla_infor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2026-01-29T03:50:32Z</dcterms:created>
  <dcterms:modified xsi:type="dcterms:W3CDTF">2026-01-29T03:50:32Z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