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b33f7f0845d8c82443d90ff5944922bfb1493b5"/>
    <w:p>
      <w:pPr>
        <w:pStyle w:val="Heading1"/>
      </w:pPr>
      <w:r>
        <w:t xml:space="preserve">Módulo: Generación de Informes (Report Generation)</w:t>
      </w:r>
    </w:p>
    <w:bookmarkStart w:id="9" w:name="descripción-general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El módulo de</w:t>
      </w:r>
      <w:r>
        <w:t xml:space="preserve"> </w:t>
      </w:r>
      <w:r>
        <w:rPr>
          <w:b/>
          <w:bCs/>
        </w:rPr>
        <w:t xml:space="preserve">Generación de Informes</w:t>
      </w:r>
      <w:r>
        <w:t xml:space="preserve"> </w:t>
      </w:r>
      <w:r>
        <w:t xml:space="preserve">es el componente final del sistema que permite la exportación de los resultados consolidados del análisis de Ensayos de Aptitud (PT) a documentos formales en formatos Word (.docx) e HTML. Utiliza la tecnología de</w:t>
      </w:r>
      <w:r>
        <w:t xml:space="preserve"> </w:t>
      </w:r>
      <w:r>
        <w:rPr>
          <w:b/>
          <w:bCs/>
        </w:rPr>
        <w:t xml:space="preserve">RMarkdown</w:t>
      </w:r>
      <w:r>
        <w:t xml:space="preserve"> </w:t>
      </w:r>
      <w:r>
        <w:t xml:space="preserve">para combinar código R, texto narrativo y visualizaciones dinámicas en un solo reporte profesional.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Pestaña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tabPanel("Generación de informes")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Líneas UI</w:t>
            </w:r>
          </w:p>
        </w:tc>
        <w:tc>
          <w:tcPr/>
          <w:p>
            <w:pPr>
              <w:pStyle w:val="Compact"/>
            </w:pPr>
            <w:r>
              <w:t xml:space="preserve">1102-1163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Líneas Lógica</w:t>
            </w:r>
          </w:p>
        </w:tc>
        <w:tc>
          <w:tcPr/>
          <w:p>
            <w:pPr>
              <w:pStyle w:val="Compact"/>
            </w:pPr>
            <w:r>
              <w:t xml:space="preserve">3748-4500+ (reactivos de reporte, downloadHandler)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reports/report_template.Rmd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pt_prep_data()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scores_results_cache()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grubbs_summary()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Normas ISO de Referencia</w:t>
            </w:r>
          </w:p>
        </w:tc>
        <w:tc>
          <w:tcPr/>
          <w:p>
            <w:pPr>
              <w:pStyle w:val="Compact"/>
            </w:pPr>
            <w:r>
              <w:t xml:space="preserve">ISO 13528:2022 Sección 10, ISO 17043:2024 Sección 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mapa-de-componentes-de-la-interfaz-ui"/>
    <w:p>
      <w:pPr>
        <w:pStyle w:val="Heading2"/>
      </w:pPr>
      <w:r>
        <w:t xml:space="preserve">2. Mapa de Componentes de la Interfaz (UI)</w:t>
      </w:r>
    </w:p>
    <w:p>
      <w:pPr>
        <w:pStyle w:val="FirstParagraph"/>
      </w:pPr>
      <w:r>
        <w:t xml:space="preserve">La interfaz se organiza en pestañas para facilitar la configuración del informe:</w:t>
      </w:r>
    </w:p>
    <w:bookmarkStart w:id="10" w:name="selectores-y-entradas-de-datos"/>
    <w:p>
      <w:pPr>
        <w:pStyle w:val="Heading3"/>
      </w:pPr>
      <w:r>
        <w:t xml:space="preserve">2.1 Selectores y Entradas de 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1"/>
        <w:gridCol w:w="1885"/>
        <w:gridCol w:w="1131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 UI</w:t>
            </w:r>
          </w:p>
        </w:tc>
        <w:tc>
          <w:tcPr/>
          <w:p>
            <w:pPr>
              <w:pStyle w:val="Compact"/>
            </w:pPr>
            <w:r>
              <w:t xml:space="preserve">Input ID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Esquema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report_n_lab</w:t>
            </w:r>
          </w:p>
        </w:tc>
        <w:tc>
          <w:tcPr/>
          <w:p>
            <w:pPr>
              <w:pStyle w:val="Compact"/>
            </w:pPr>
            <w: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Selecciona el esquema (n) a reportar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 de Concentración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report_level</w:t>
            </w:r>
          </w:p>
        </w:tc>
        <w:tc>
          <w:tcPr/>
          <w:p>
            <w:pPr>
              <w:pStyle w:val="Compact"/>
            </w:pPr>
            <w: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Filtra por nivel (ej. 20-nmol/mol)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Métrica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report_metric</w:t>
            </w:r>
          </w:p>
        </w:tc>
        <w:tc>
          <w:tcPr/>
          <w:p>
            <w:pPr>
              <w:pStyle w:val="Compact"/>
            </w:pPr>
            <w: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z, z’, ζ, 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Valor Asignado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report_method</w:t>
            </w:r>
          </w:p>
        </w:tc>
        <w:tc>
          <w:tcPr/>
          <w:p>
            <w:pPr>
              <w:pStyle w:val="Compact"/>
            </w:pPr>
            <w: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1 (Ref), 2a (MADe), 2b (nIQR), 3 (Alg 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report_k</w:t>
            </w:r>
          </w:p>
        </w:tc>
        <w:tc>
          <w:tcPr/>
          <w:p>
            <w:pPr>
              <w:pStyle w:val="Compact"/>
            </w:pPr>
            <w:r>
              <w:t xml:space="preserve">numericInput</w:t>
            </w:r>
          </w:p>
        </w:tc>
        <w:tc>
          <w:tcPr/>
          <w:p>
            <w:pPr>
              <w:pStyle w:val="Compact"/>
            </w:pPr>
            <w:r>
              <w:t xml:space="preserve">Factor de cobertura (por defecto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Compatibilidad Metrológica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report_metrological_compatibility_method</w:t>
            </w:r>
          </w:p>
        </w:tc>
        <w:tc>
          <w:tcPr/>
          <w:p>
            <w:pPr>
              <w:pStyle w:val="Compact"/>
            </w:pPr>
            <w: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Método de consenso para comparar: 2a, 2b,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 del Esquema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report_scheme_id</w:t>
            </w:r>
          </w:p>
        </w:tc>
        <w:tc>
          <w:tcPr/>
          <w:p>
            <w:pPr>
              <w:pStyle w:val="Compact"/>
            </w:pPr>
            <w:r>
              <w:t xml:space="preserve">textInput</w:t>
            </w:r>
          </w:p>
        </w:tc>
        <w:tc>
          <w:tcPr/>
          <w:p>
            <w:pPr>
              <w:pStyle w:val="Compact"/>
            </w:pPr>
            <w:r>
              <w:t xml:space="preserve">Identificador único del ensayo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 del Informe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report_id</w:t>
            </w:r>
          </w:p>
        </w:tc>
        <w:tc>
          <w:tcPr/>
          <w:p>
            <w:pPr>
              <w:pStyle w:val="Compact"/>
            </w:pPr>
            <w:r>
              <w:t xml:space="preserve">textInput</w:t>
            </w:r>
          </w:p>
        </w:tc>
        <w:tc>
          <w:tcPr/>
          <w:p>
            <w:pPr>
              <w:pStyle w:val="Compact"/>
            </w:pPr>
            <w:r>
              <w:t xml:space="preserve">Código del documento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de Emisión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report_date</w:t>
            </w:r>
          </w:p>
        </w:tc>
        <w:tc>
          <w:tcPr/>
          <w:p>
            <w:pPr>
              <w:pStyle w:val="Compact"/>
            </w:pPr>
            <w:r>
              <w:t xml:space="preserve">dateInput</w:t>
            </w:r>
          </w:p>
        </w:tc>
        <w:tc>
          <w:tcPr/>
          <w:p>
            <w:pPr>
              <w:pStyle w:val="Compact"/>
            </w:pPr>
            <w:r>
              <w:t xml:space="preserve">Fecha que aparecerá en el reporte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participants_data_upload</w:t>
            </w:r>
          </w:p>
        </w:tc>
        <w:tc>
          <w:tcPr/>
          <w:p>
            <w:pPr>
              <w:pStyle w:val="Compact"/>
            </w:pPr>
            <w:r>
              <w:t xml:space="preserve">fileInput</w:t>
            </w:r>
          </w:p>
        </w:tc>
        <w:tc>
          <w:tcPr/>
          <w:p>
            <w:pPr>
              <w:pStyle w:val="Compact"/>
            </w:pPr>
            <w:r>
              <w:t xml:space="preserve">Carga de CSV con marcas de analizadores</w:t>
            </w:r>
          </w:p>
        </w:tc>
      </w:tr>
    </w:tbl>
    <w:bookmarkEnd w:id="10"/>
    <w:bookmarkStart w:id="11" w:name="botones-de-acción-y-salida"/>
    <w:p>
      <w:pPr>
        <w:pStyle w:val="Heading3"/>
      </w:pPr>
      <w:r>
        <w:t xml:space="preserve">2.2 Botones de Acción y Salida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880"/>
        <w:gridCol w:w="132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 UI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Descargar 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download_word</w:t>
            </w:r>
          </w:p>
        </w:tc>
        <w:tc>
          <w:tcPr/>
          <w:p>
            <w:pPr>
              <w:pStyle w:val="Compact"/>
            </w:pPr>
            <w:r>
              <w:t xml:space="preserve">downloadButton</w:t>
            </w:r>
          </w:p>
        </w:tc>
        <w:tc>
          <w:tcPr/>
          <w:p>
            <w:pPr>
              <w:pStyle w:val="Compact"/>
            </w:pPr>
            <w:r>
              <w:t xml:space="preserve">Genera y descarga archivo 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Descargar 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download_html</w:t>
            </w:r>
          </w:p>
        </w:tc>
        <w:tc>
          <w:tcPr/>
          <w:p>
            <w:pPr>
              <w:pStyle w:val="Compact"/>
            </w:pPr>
            <w:r>
              <w:t xml:space="preserve">downloadButton</w:t>
            </w:r>
          </w:p>
        </w:tc>
        <w:tc>
          <w:tcPr/>
          <w:p>
            <w:pPr>
              <w:pStyle w:val="Compact"/>
            </w:pPr>
            <w:r>
              <w:t xml:space="preserve">Genera y descarga archivo 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report_status</w:t>
            </w:r>
          </w:p>
        </w:tc>
        <w:tc>
          <w:tcPr/>
          <w:p>
            <w:pPr>
              <w:pStyle w:val="Compact"/>
            </w:pPr>
            <w:r>
              <w:t xml:space="preserve">uiOutput</w:t>
            </w:r>
          </w:p>
        </w:tc>
        <w:tc>
          <w:tcPr/>
          <w:p>
            <w:pPr>
              <w:pStyle w:val="Compact"/>
            </w:pPr>
            <w:r>
              <w:t xml:space="preserve">Validación de prerrequisitos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Previa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report_preview_summary</w:t>
            </w:r>
          </w:p>
        </w:tc>
        <w:tc>
          <w:tcPr/>
          <w:p>
            <w:pPr>
              <w:pStyle w:val="Compact"/>
            </w:pPr>
            <w:r>
              <w:t xml:space="preserve">verbatimTextOutput</w:t>
            </w:r>
          </w:p>
        </w:tc>
        <w:tc>
          <w:tcPr/>
          <w:p>
            <w:pPr>
              <w:pStyle w:val="Compact"/>
            </w:pPr>
            <w:r>
              <w:t xml:space="preserve">Resumen técnico de los datos a exportar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flujo-de-trabajo-y-datos"/>
    <w:p>
      <w:pPr>
        <w:pStyle w:val="Heading2"/>
      </w:pPr>
      <w:r>
        <w:t xml:space="preserve">3. Flujo de Trabajo y Datos</w:t>
      </w:r>
    </w:p>
    <w:p>
      <w:pPr>
        <w:pStyle w:val="FirstParagraph"/>
      </w:pPr>
      <w:r>
        <w:t xml:space="preserve">El proceso de generación sigue un flujo reactivo donde la aplicación Shiny prepara</w:t>
      </w:r>
      <w:r>
        <w:t xml:space="preserve"> </w:t>
      </w:r>
      <w:r>
        <w:t xml:space="preserve">“paquetes”</w:t>
      </w:r>
      <w:r>
        <w:t xml:space="preserve"> </w:t>
      </w:r>
      <w:r>
        <w:t xml:space="preserve">de datos que luego son inyectados como parámetros en la plantilla RMarkdown.</w:t>
      </w:r>
    </w:p>
    <w:bookmarkStart w:id="13" w:name="diagrama-de-flujo-reactivo"/>
    <w:p>
      <w:pPr>
        <w:pStyle w:val="Heading3"/>
      </w:pPr>
      <w:r>
        <w:t xml:space="preserve">3.1 Diagrama de Flujo Reactivo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Entrada_Datos</w:t>
      </w:r>
      <w:r>
        <w:br/>
      </w:r>
      <w:r>
        <w:rPr>
          <w:rStyle w:val="VerbatimChar"/>
        </w:rPr>
        <w:t xml:space="preserve">        PT_DATA[pt_prep_data] --&gt; GRUBBS[grubbs_summary]</w:t>
      </w:r>
      <w:r>
        <w:br/>
      </w:r>
      <w:r>
        <w:rPr>
          <w:rStyle w:val="VerbatimChar"/>
        </w:rPr>
        <w:t xml:space="preserve">        PT_DATA --&gt; XPT[report_xpt_summary]</w:t>
      </w:r>
      <w:r>
        <w:br/>
      </w:r>
      <w:r>
        <w:rPr>
          <w:rStyle w:val="VerbatimChar"/>
        </w:rPr>
        <w:t xml:space="preserve">        HOM_DATA[hom_data_full] --&gt; HOM_SUMM[report_homogeneity_summary]</w:t>
      </w:r>
      <w:r>
        <w:br/>
      </w:r>
      <w:r>
        <w:rPr>
          <w:rStyle w:val="VerbatimChar"/>
        </w:rPr>
        <w:t xml:space="preserve">        STAB_DATA[stab_data_full] --&gt; STAB_SUMM[report_stability_summary]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Entrada_Usuario</w:t>
      </w:r>
      <w:r>
        <w:br/>
      </w:r>
      <w:r>
        <w:rPr>
          <w:rStyle w:val="VerbatimChar"/>
        </w:rPr>
        <w:t xml:space="preserve">        METHOD[input$report_method] --&gt; SCORES[calculate_method_scores_df]</w:t>
      </w:r>
      <w:r>
        <w:br/>
      </w:r>
      <w:r>
        <w:rPr>
          <w:rStyle w:val="VerbatimChar"/>
        </w:rPr>
        <w:t xml:space="preserve">        METRIC[input$report_metric] --&gt; SCORE_SUMM[report_score_summary]</w:t>
      </w:r>
      <w:r>
        <w:br/>
      </w:r>
      <w:r>
        <w:rPr>
          <w:rStyle w:val="VerbatimChar"/>
        </w:rPr>
        <w:t xml:space="preserve">        COMPAT[input$report_metrological_compatibility_method] --&gt; COMPAT_DATA[metrological_compatibility_data]</w:t>
      </w:r>
      <w:r>
        <w:br/>
      </w:r>
      <w:r>
        <w:rPr>
          <w:rStyle w:val="VerbatimChar"/>
        </w:rPr>
        <w:t xml:space="preserve">        UPLOAD[input$participants_data_upload] --&gt; INSTRUM[participants_instrumentation]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Generacion</w:t>
      </w:r>
      <w:r>
        <w:br/>
      </w:r>
      <w:r>
        <w:rPr>
          <w:rStyle w:val="VerbatimChar"/>
        </w:rPr>
        <w:t xml:space="preserve">        GRUBBS --&gt; TEMPLATE[report_template.Rmd]</w:t>
      </w:r>
      <w:r>
        <w:br/>
      </w:r>
      <w:r>
        <w:rPr>
          <w:rStyle w:val="VerbatimChar"/>
        </w:rPr>
        <w:t xml:space="preserve">        XPT --&gt; TEMPLATE</w:t>
      </w:r>
      <w:r>
        <w:br/>
      </w:r>
      <w:r>
        <w:rPr>
          <w:rStyle w:val="VerbatimChar"/>
        </w:rPr>
        <w:t xml:space="preserve">        HOM_SUMM --&gt; TEMPLATE</w:t>
      </w:r>
      <w:r>
        <w:br/>
      </w:r>
      <w:r>
        <w:rPr>
          <w:rStyle w:val="VerbatimChar"/>
        </w:rPr>
        <w:t xml:space="preserve">        STAB_SUMM --&gt; TEMPLATE</w:t>
      </w:r>
      <w:r>
        <w:br/>
      </w:r>
      <w:r>
        <w:rPr>
          <w:rStyle w:val="VerbatimChar"/>
        </w:rPr>
        <w:t xml:space="preserve">        SCORE_SUMM --&gt; TEMPLATE</w:t>
      </w:r>
      <w:r>
        <w:br/>
      </w:r>
      <w:r>
        <w:rPr>
          <w:rStyle w:val="VerbatimChar"/>
        </w:rPr>
        <w:t xml:space="preserve">        COMPAT_DATA --&gt; TEMPLATE</w:t>
      </w:r>
      <w:r>
        <w:br/>
      </w:r>
      <w:r>
        <w:rPr>
          <w:rStyle w:val="VerbatimChar"/>
        </w:rPr>
        <w:t xml:space="preserve">        INSTRUM --&gt; TEMPLATE</w:t>
      </w:r>
      <w:r>
        <w:br/>
      </w:r>
      <w:r>
        <w:rPr>
          <w:rStyle w:val="VerbatimChar"/>
        </w:rPr>
        <w:t xml:space="preserve">        TEMPLATE --&gt; RENDER[rmarkdown::render]</w:t>
      </w:r>
      <w:r>
        <w:br/>
      </w:r>
      <w:r>
        <w:rPr>
          <w:rStyle w:val="VerbatimChar"/>
        </w:rPr>
        <w:t xml:space="preserve">        RENDER --&gt; DOWNLOAD[downloadHandler]</w:t>
      </w:r>
      <w:r>
        <w:br/>
      </w:r>
      <w:r>
        <w:rPr>
          <w:rStyle w:val="VerbatimChar"/>
        </w:rPr>
        <w:t xml:space="preserve">    end</w:t>
      </w:r>
    </w:p>
    <w:bookmarkEnd w:id="13"/>
    <w:bookmarkStart w:id="14" w:name="proceso-de-compilación-downloadhandler"/>
    <w:p>
      <w:pPr>
        <w:pStyle w:val="Heading3"/>
      </w:pPr>
      <w:r>
        <w:t xml:space="preserve">3.2 Proceso de Compilación (</w:t>
      </w:r>
      <w:r>
        <w:rPr>
          <w:rStyle w:val="VerbatimChar"/>
        </w:rPr>
        <w:t xml:space="preserve">downloadHandler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Configuración</w:t>
      </w:r>
      <w:r>
        <w:t xml:space="preserve">: El usuario ajusta los parámetros en la UI.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Preparación</w:t>
      </w:r>
      <w:r>
        <w:t xml:space="preserve">: Al hacer clic en descargar, se crea un directorio temporal.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Copiado</w:t>
      </w:r>
      <w:r>
        <w:t xml:space="preserve">: Se copia el template</w:t>
      </w:r>
      <w:r>
        <w:t xml:space="preserve"> </w:t>
      </w:r>
      <w:r>
        <w:rPr>
          <w:rStyle w:val="VerbatimChar"/>
        </w:rPr>
        <w:t xml:space="preserve">report_template.Rmd</w:t>
      </w:r>
      <w:r>
        <w:t xml:space="preserve"> </w:t>
      </w:r>
      <w:r>
        <w:t xml:space="preserve">(y otros activos necesarios) al directorio temporal para evitar conflictos de escritura.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Parametrización</w:t>
      </w:r>
      <w:r>
        <w:t xml:space="preserve">: Se crea una lista de R (</w:t>
      </w:r>
      <w:r>
        <w:rPr>
          <w:rStyle w:val="VerbatimChar"/>
        </w:rPr>
        <w:t xml:space="preserve">params</w:t>
      </w:r>
      <w:r>
        <w:t xml:space="preserve">) que contiene todos los resúmenes estadísticos y metadatos.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Renderizado</w:t>
      </w:r>
      <w:r>
        <w:t xml:space="preserve">: Se invoca</w:t>
      </w:r>
      <w:r>
        <w:t xml:space="preserve"> </w:t>
      </w:r>
      <w:r>
        <w:rPr>
          <w:rStyle w:val="VerbatimChar"/>
        </w:rPr>
        <w:t xml:space="preserve">rmarkdown::render()</w:t>
      </w:r>
      <w:r>
        <w:t xml:space="preserve"> </w:t>
      </w:r>
      <w:r>
        <w:t xml:space="preserve">con el formato de salida solicitado.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Entrega</w:t>
      </w:r>
      <w:r>
        <w:t xml:space="preserve">: El servidor envía el archivo resultante al navegador del usuario.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reactivos-de-soporte-técnico"/>
    <w:p>
      <w:pPr>
        <w:pStyle w:val="Heading2"/>
      </w:pPr>
      <w:r>
        <w:t xml:space="preserve">4. Reactivos de Soporte Técnico</w:t>
      </w:r>
    </w:p>
    <w:p>
      <w:pPr>
        <w:pStyle w:val="FirstParagraph"/>
      </w:pPr>
      <w:r>
        <w:t xml:space="preserve">Estos reactivos consolidan la información de diferentes módulos para que el reporte sea coherente:</w:t>
      </w:r>
    </w:p>
    <w:bookmarkStart w:id="16" w:name="grubbs_summary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grubbs_summary()</w:t>
      </w:r>
    </w:p>
    <w:p>
      <w:pPr>
        <w:pStyle w:val="FirstParagraph"/>
      </w:pPr>
      <w:r>
        <w:t xml:space="preserve">Detecta valores atípicos para cada contaminante y nivel seleccionado.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Retorno</w:t>
      </w:r>
      <w:r>
        <w:t xml:space="preserve">: Data frame con columnas:</w:t>
      </w:r>
      <w:r>
        <w:t xml:space="preserve"> </w:t>
      </w:r>
      <w:r>
        <w:rPr>
          <w:rStyle w:val="VerbatimChar"/>
        </w:rPr>
        <w:t xml:space="preserve">Contaminante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Participantes_Evaluados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Valor_p</w:t>
      </w:r>
      <w:r>
        <w:t xml:space="preserve">,</w:t>
      </w:r>
      <w:r>
        <w:t xml:space="preserve"> </w:t>
      </w:r>
      <w:r>
        <w:rPr>
          <w:rStyle w:val="VerbatimChar"/>
        </w:rPr>
        <w:t xml:space="preserve">Atipicos_detectados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Participante_ID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Valor_Atipico</w:t>
      </w:r>
      <w:r>
        <w:t xml:space="preserve">.</w:t>
      </w:r>
    </w:p>
    <w:bookmarkEnd w:id="16"/>
    <w:bookmarkStart w:id="17" w:name="report_xpt_summary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report_xpt_summary()</w:t>
      </w:r>
    </w:p>
    <w:p>
      <w:pPr>
        <w:pStyle w:val="FirstParagraph"/>
      </w:pPr>
      <w:r>
        <w:t xml:space="preserve">Consolida la información del valor asignado (</w:t>
      </w:r>
      <m:oMath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), incertidumbre (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</m:sub>
        </m:sSub>
      </m:oMath>
      <w:r>
        <w:t xml:space="preserve">) y desviación estándar (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Retorno</w:t>
      </w:r>
      <w:r>
        <w:t xml:space="preserve">: Resumen del método seleccionado (Referencia, Consenso o Algoritmo A).</w:t>
      </w:r>
    </w:p>
    <w:bookmarkEnd w:id="17"/>
    <w:bookmarkStart w:id="18" w:name="Xfe805d539839036be2f8ec692a6b69f622a0d9c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report_homogeneity_summary()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report_stability_summary()</w:t>
      </w:r>
    </w:p>
    <w:p>
      <w:pPr>
        <w:pStyle w:val="FirstParagraph"/>
      </w:pPr>
      <w:r>
        <w:t xml:space="preserve">Extrae los estadísticos de varianza (</w:t>
      </w:r>
      <m:oMath>
        <m:sSub>
          <m:e>
            <m:r>
              <m:t>s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), criterios críticos y conclusiones de cumplimiento.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Campos</w:t>
      </w:r>
      <w:r>
        <w:t xml:space="preserve">: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Replicas</w:t>
      </w:r>
      <w:r>
        <w:t xml:space="preserve">,</w:t>
      </w:r>
      <w:r>
        <w:t xml:space="preserve"> </w:t>
      </w:r>
      <w:r>
        <w:rPr>
          <w:rStyle w:val="VerbatimChar"/>
        </w:rPr>
        <w:t xml:space="preserve">ss</w:t>
      </w:r>
      <w:r>
        <w:t xml:space="preserve">,</w:t>
      </w:r>
      <w:r>
        <w:t xml:space="preserve"> </w:t>
      </w:r>
      <w:r>
        <w:rPr>
          <w:rStyle w:val="VerbatimChar"/>
        </w:rPr>
        <w:t xml:space="preserve">sw</w:t>
      </w:r>
      <w:r>
        <w:t xml:space="preserve">,</w:t>
      </w:r>
      <w:r>
        <w:t xml:space="preserve"> </w:t>
      </w:r>
      <w:r>
        <w:rPr>
          <w:rStyle w:val="VerbatimChar"/>
        </w:rPr>
        <w:t xml:space="preserve">c_criterio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Cumple_Criterio</w:t>
      </w:r>
      <w:r>
        <w:t xml:space="preserve">.</w:t>
      </w:r>
    </w:p>
    <w:bookmarkEnd w:id="18"/>
    <w:bookmarkStart w:id="19" w:name="report_heatmaps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report_heatmaps()</w:t>
      </w:r>
    </w:p>
    <w:p>
      <w:pPr>
        <w:pStyle w:val="FirstParagraph"/>
      </w:pPr>
      <w:r>
        <w:t xml:space="preserve">Genera objetos ggplot2 que visualizan el desempeño de todos los participantes mediante mapas de calor (Satisfactorio, Cuestionable, No Satisfactorio).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integración-con-rmarkdown-template"/>
    <w:p>
      <w:pPr>
        <w:pStyle w:val="Heading2"/>
      </w:pPr>
      <w:r>
        <w:t xml:space="preserve">5. Integración con RMarkdown (Template)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reports/report_template.Rmd</w:t>
      </w:r>
      <w:r>
        <w:t xml:space="preserve"> </w:t>
      </w:r>
      <w:r>
        <w:t xml:space="preserve">es el corazón del informe. Está diseñado para ser totalmente paramétrico.</w:t>
      </w:r>
    </w:p>
    <w:bookmarkStart w:id="21" w:name="estructura-del-yaml"/>
    <w:p>
      <w:pPr>
        <w:pStyle w:val="Heading3"/>
      </w:pPr>
      <w:r>
        <w:t xml:space="preserve">5.1 Estructura del YAML</w:t>
      </w:r>
    </w:p>
    <w:p>
      <w:pPr>
        <w:pStyle w:val="SourceCode"/>
      </w:pP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report_id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"PT-001"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report_date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"2025-01-10"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coordinator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"Dr. Juan Pérez"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n_lab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"20-nmol/mol"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"z"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grubbs_data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 data.frame()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x_pt_data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 data.frame()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hom_data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 data.frame()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stab_data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 data.frame()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metrological_compatibility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 data.frame()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metrological_compatibility_method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"2a"</w:t>
      </w:r>
    </w:p>
    <w:bookmarkEnd w:id="21"/>
    <w:bookmarkStart w:id="22" w:name="X1f0a7837668a9a266d1139465ca54c86e434959"/>
    <w:p>
      <w:pPr>
        <w:pStyle w:val="Heading3"/>
      </w:pPr>
      <w:r>
        <w:t xml:space="preserve">5.2 Paso de Parámetros de Compatibilidad Metrológica</w:t>
      </w:r>
    </w:p>
    <w:p>
      <w:pPr>
        <w:pStyle w:val="FirstParagraph"/>
      </w:pPr>
      <w:r>
        <w:t xml:space="preserve">Los datos de compatibilidad metrológica se pasan a la plantilla del informe a través de dos parámetros:</w:t>
      </w:r>
    </w:p>
    <w:p>
      <w:pPr>
        <w:pStyle w:val="BodyText"/>
      </w:pPr>
      <w:r>
        <w:rPr>
          <w:b/>
          <w:bCs/>
        </w:rPr>
        <w:t xml:space="preserve">metrological_compatibility</w:t>
      </w:r>
      <w:r>
        <w:t xml:space="preserve">: Data frame que contiene las comparaciones de compatibilidad de los tres métodos.</w:t>
      </w:r>
      <w:r>
        <w:t xml:space="preserve"> </w:t>
      </w:r>
      <w:r>
        <w:t xml:space="preserve">- Columnas: pollutant, n_lab, level, x_pt_ref, x_pt_2a, x_pt_2b, x_pt_3, Diff_Ref_2a, Diff_Ref_2b, Diff_Ref_3.</w:t>
      </w:r>
      <w:r>
        <w:t xml:space="preserve"> </w:t>
      </w:r>
      <w:r>
        <w:t xml:space="preserve">- Fuente: reactivo</w:t>
      </w:r>
      <w:r>
        <w:t xml:space="preserve"> </w:t>
      </w:r>
      <w:r>
        <w:rPr>
          <w:rStyle w:val="VerbatimChar"/>
        </w:rPr>
        <w:t xml:space="preserve">metrological_compatibility_data()</w:t>
      </w:r>
      <w:r>
        <w:t xml:space="preserve"> </w:t>
      </w:r>
      <w:r>
        <w:t xml:space="preserve">en app.R.</w:t>
      </w:r>
    </w:p>
    <w:p>
      <w:pPr>
        <w:pStyle w:val="BodyText"/>
      </w:pPr>
      <w:r>
        <w:rPr>
          <w:b/>
          <w:bCs/>
        </w:rPr>
        <w:t xml:space="preserve">metrological_compatibility_method</w:t>
      </w:r>
      <w:r>
        <w:t xml:space="preserve">: Método de consenso seleccionado para la comparación.</w:t>
      </w:r>
      <w:r>
        <w:t xml:space="preserve"> </w:t>
      </w:r>
      <w:r>
        <w:t xml:space="preserve">- Opciones:</w:t>
      </w:r>
      <w:r>
        <w:t xml:space="preserve"> </w:t>
      </w:r>
      <w:r>
        <w:t xml:space="preserve">“2a”</w:t>
      </w:r>
      <w:r>
        <w:t xml:space="preserve">,</w:t>
      </w:r>
      <w:r>
        <w:t xml:space="preserve"> </w:t>
      </w:r>
      <w:r>
        <w:t xml:space="preserve">“2b”</w:t>
      </w:r>
      <w:r>
        <w:t xml:space="preserve"> </w:t>
      </w:r>
      <w:r>
        <w:t xml:space="preserve">o</w:t>
      </w:r>
      <w:r>
        <w:t xml:space="preserve"> </w:t>
      </w:r>
      <w:r>
        <w:t xml:space="preserve">“3”</w:t>
      </w:r>
      <w:r>
        <w:t xml:space="preserve">.</w:t>
      </w:r>
      <w:r>
        <w:t xml:space="preserve"> </w:t>
      </w:r>
      <w:r>
        <w:t xml:space="preserve">- Fuente:</w:t>
      </w:r>
      <w:r>
        <w:t xml:space="preserve"> </w:t>
      </w:r>
      <w:r>
        <w:rPr>
          <w:rStyle w:val="VerbatimChar"/>
        </w:rPr>
        <w:t xml:space="preserve">input$report_metrological_compatibility_method</w:t>
      </w:r>
      <w:r>
        <w:t xml:space="preserve">.</w:t>
      </w:r>
    </w:p>
    <w:p>
      <w:pPr>
        <w:pStyle w:val="BodyText"/>
      </w:pPr>
      <w:r>
        <w:t xml:space="preserve">La plantilla filtra dinámicamente la tabla de compatibilidad basándose en el método seleccionado, mostrando solo el valor de consenso y la diferencia relevantes.</w:t>
      </w:r>
    </w:p>
    <w:bookmarkEnd w:id="22"/>
    <w:bookmarkStart w:id="23" w:name="secciones-del-informe"/>
    <w:p>
      <w:pPr>
        <w:pStyle w:val="Heading3"/>
      </w:pPr>
      <w:r>
        <w:t xml:space="preserve">5.3 Secciones del Informe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Encabezado</w:t>
      </w:r>
      <w:r>
        <w:t xml:space="preserve">: Datos institucionales, ID del informe y fecha.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Resumen Ejecutivo</w:t>
      </w:r>
      <w:r>
        <w:t xml:space="preserve">: Descripción del esquema PT y número de laboratorios.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Análisis de Homogeneidad y Estabilidad</w:t>
      </w:r>
      <w:r>
        <w:t xml:space="preserve">: Tablas de varianza y conclusiones de validez del material.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Valor Asignado</w:t>
      </w:r>
      <w:r>
        <w:t xml:space="preserve">: Detalle del método utilizado y parámetros calculados (</w:t>
      </w:r>
      <m:oMath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Detección de Atípicos</w:t>
      </w:r>
      <w:r>
        <w:t xml:space="preserve">: Resultados del test de Grubbs.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Puntajes de Desempeño</w:t>
      </w:r>
      <w:r>
        <w:t xml:space="preserve">: Tabla completa de resultados (z, z’, ζ, En) y estadísticas de grupo.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Visualizaciones</w:t>
      </w:r>
      <w:r>
        <w:t xml:space="preserve">: Mapas de calor y gráficos individuales de desempeño.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Conclusiones y Firmas</w:t>
      </w:r>
      <w:r>
        <w:t xml:space="preserve">: Bloque para firmas de coordinación y gestión.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ormatos-de-salida"/>
    <w:p>
      <w:pPr>
        <w:pStyle w:val="Heading2"/>
      </w:pPr>
      <w:r>
        <w:t xml:space="preserve">6. Formatos de Salida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20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Ventajas</w:t>
            </w:r>
          </w:p>
        </w:tc>
        <w:tc>
          <w:tcPr/>
          <w:p>
            <w:pPr>
              <w:pStyle w:val="Compact"/>
            </w:pPr>
            <w:r>
              <w:t xml:space="preserve">Uso Recomendado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(.docx)</w:t>
            </w:r>
          </w:p>
        </w:tc>
        <w:tc>
          <w:tcPr/>
          <w:p>
            <w:pPr>
              <w:pStyle w:val="Compact"/>
            </w:pPr>
            <w:r>
              <w:t xml:space="preserve">Altamente editable, permite ajustes manuales post-generación, compatible con flujos de firma tradicionales.</w:t>
            </w:r>
          </w:p>
        </w:tc>
        <w:tc>
          <w:tcPr/>
          <w:p>
            <w:pPr>
              <w:pStyle w:val="Compact"/>
            </w:pPr>
            <w:r>
              <w:t xml:space="preserve">Informes finales oficiales.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Interactividad, gráficos dinámicos (plotly), visualización rápida en navegadores.</w:t>
            </w:r>
          </w:p>
        </w:tc>
        <w:tc>
          <w:tcPr/>
          <w:p>
            <w:pPr>
              <w:pStyle w:val="Compact"/>
            </w:pPr>
            <w:r>
              <w:t xml:space="preserve">Revisión interna o dashboards de resultados.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personalización-y-configuración"/>
    <w:p>
      <w:pPr>
        <w:pStyle w:val="Heading2"/>
      </w:pPr>
      <w:r>
        <w:t xml:space="preserve">7. Personalización y Configuración</w:t>
      </w:r>
    </w:p>
    <w:bookmarkStart w:id="26" w:name="carga-de-instrumentación"/>
    <w:p>
      <w:pPr>
        <w:pStyle w:val="Heading3"/>
      </w:pPr>
      <w:r>
        <w:t xml:space="preserve">7.1 Carga de Instrumentación</w:t>
      </w:r>
    </w:p>
    <w:p>
      <w:pPr>
        <w:pStyle w:val="FirstParagraph"/>
      </w:pPr>
      <w:r>
        <w:t xml:space="preserve">Para que el informe incluya el tipo de analizador por participante, se debe cargar un CSV con la siguiente estructura:</w:t>
      </w:r>
    </w:p>
    <w:p>
      <w:pPr>
        <w:pStyle w:val="SourceCode"/>
      </w:pPr>
      <w:r>
        <w:rPr>
          <w:rStyle w:val="VerbatimChar"/>
        </w:rPr>
        <w:t xml:space="preserve">Codigo_Lab,Analizador_SO2,Analizador_CO,Analizador_O3,Analizador_NO_NO2</w:t>
      </w:r>
      <w:r>
        <w:br/>
      </w:r>
      <w:r>
        <w:rPr>
          <w:rStyle w:val="VerbatimChar"/>
        </w:rPr>
        <w:t xml:space="preserve">LAB01,Thermo 43i,Thermo 48i,Thermo 49i,Thermo 42i</w:t>
      </w:r>
      <w:r>
        <w:br/>
      </w:r>
      <w:r>
        <w:rPr>
          <w:rStyle w:val="VerbatimChar"/>
        </w:rPr>
        <w:t xml:space="preserve">LAB02,Teledyne T100,Teledyne T300,Teledyne T400,Teledyne T200</w:t>
      </w:r>
    </w:p>
    <w:bookmarkEnd w:id="26"/>
    <w:bookmarkStart w:id="27" w:name="opciones-de-firma"/>
    <w:p>
      <w:pPr>
        <w:pStyle w:val="Heading3"/>
      </w:pPr>
      <w:r>
        <w:t xml:space="preserve">7.2 Opciones de Firma</w:t>
      </w:r>
    </w:p>
    <w:p>
      <w:pPr>
        <w:pStyle w:val="FirstParagraph"/>
      </w:pPr>
      <w:r>
        <w:t xml:space="preserve">La UI permite ingresar los nombres para el bloque de firmas final:</w:t>
      </w:r>
      <w:r>
        <w:t xml:space="preserve"> </w:t>
      </w:r>
      <w:r>
        <w:t xml:space="preserve">* Coordinador EA.</w:t>
      </w:r>
      <w:r>
        <w:t xml:space="preserve"> </w:t>
      </w:r>
      <w:r>
        <w:t xml:space="preserve">* Profesional Calidad Aire.</w:t>
      </w:r>
      <w:r>
        <w:t xml:space="preserve"> </w:t>
      </w:r>
      <w:r>
        <w:t xml:space="preserve">* Ingeniero Operativo.</w:t>
      </w:r>
      <w:r>
        <w:t xml:space="preserve"> </w:t>
      </w:r>
      <w:r>
        <w:t xml:space="preserve">* Profesional Gestión de Calidad.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olución-de-problemas-troubleshooting"/>
    <w:p>
      <w:pPr>
        <w:pStyle w:val="Heading2"/>
      </w:pPr>
      <w:r>
        <w:t xml:space="preserve">8. Solución de Problemas (Troubleshooting)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384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“Sin datos PT”</w:t>
            </w:r>
          </w:p>
        </w:tc>
        <w:tc>
          <w:tcPr/>
          <w:p>
            <w:pPr>
              <w:pStyle w:val="Compact"/>
            </w:pPr>
            <w:r>
              <w:t xml:space="preserve">No se han cargado los archivos</w:t>
            </w:r>
            <w:r>
              <w:t xml:space="preserve"> </w:t>
            </w:r>
            <w:r>
              <w:rPr>
                <w:rStyle w:val="VerbatimChar"/>
              </w:rPr>
              <w:t xml:space="preserve">summary_n*.csv</w:t>
            </w:r>
          </w:p>
        </w:tc>
        <w:tc>
          <w:tcPr/>
          <w:p>
            <w:pPr>
              <w:pStyle w:val="Compact"/>
            </w:pPr>
            <w:r>
              <w:t xml:space="preserve">Ver módulo de</w:t>
            </w:r>
            <w:r>
              <w:t xml:space="preserve"> </w:t>
            </w:r>
            <w:r>
              <w:rPr>
                <w:b/>
                <w:bCs/>
              </w:rPr>
              <w:t xml:space="preserve">Carga de Datos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“Puntajes no calculados”</w:t>
            </w:r>
          </w:p>
        </w:tc>
        <w:tc>
          <w:tcPr/>
          <w:p>
            <w:pPr>
              <w:pStyle w:val="Compact"/>
            </w:pPr>
            <w:r>
              <w:t xml:space="preserve">Se intenta generar informe antes de ejecutar el cálculo.</w:t>
            </w:r>
          </w:p>
        </w:tc>
        <w:tc>
          <w:tcPr/>
          <w:p>
            <w:pPr>
              <w:pStyle w:val="Compact"/>
            </w:pPr>
            <w:r>
              <w:t xml:space="preserve">Ir a la pestaña</w:t>
            </w:r>
            <w:r>
              <w:t xml:space="preserve"> </w:t>
            </w:r>
            <w:r>
              <w:rPr>
                <w:b/>
                <w:bCs/>
              </w:rPr>
              <w:t xml:space="preserve">PT Scores</w:t>
            </w:r>
            <w:r>
              <w:t xml:space="preserve"> </w:t>
            </w:r>
            <w:r>
              <w:t xml:space="preserve">y hacer clic en</w:t>
            </w:r>
            <w:r>
              <w:t xml:space="preserve"> </w:t>
            </w:r>
            <w:r>
              <w:t xml:space="preserve">“Calcular Puntajes”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al renderizar Word</w:t>
            </w:r>
          </w:p>
        </w:tc>
        <w:tc>
          <w:tcPr/>
          <w:p>
            <w:pPr>
              <w:pStyle w:val="Compact"/>
            </w:pPr>
            <w:r>
              <w:t xml:space="preserve">El template</w:t>
            </w:r>
            <w:r>
              <w:t xml:space="preserve"> </w:t>
            </w:r>
            <w:r>
              <w:rPr>
                <w:rStyle w:val="VerbatimChar"/>
              </w:rPr>
              <w:t xml:space="preserve">report_template.Rmd</w:t>
            </w:r>
            <w:r>
              <w:t xml:space="preserve"> </w:t>
            </w:r>
            <w:r>
              <w:t xml:space="preserve">está abierto o corrupto.</w:t>
            </w:r>
          </w:p>
        </w:tc>
        <w:tc>
          <w:tcPr/>
          <w:p>
            <w:pPr>
              <w:pStyle w:val="Compact"/>
            </w:pPr>
            <w:r>
              <w:t xml:space="preserve">Verificar integridad del archivo en la carpeta</w:t>
            </w:r>
            <w:r>
              <w:t xml:space="preserve"> </w:t>
            </w:r>
            <w:r>
              <w:rPr>
                <w:rStyle w:val="VerbatimChar"/>
              </w:rPr>
              <w:t xml:space="preserve">reports/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Gráficos en blanco</w:t>
            </w:r>
          </w:p>
        </w:tc>
        <w:tc>
          <w:tcPr/>
          <w:p>
            <w:pPr>
              <w:pStyle w:val="Compact"/>
            </w:pPr>
            <w:r>
              <w:t xml:space="preserve">Las visualizaciones no han sido generadas por falta de datos.</w:t>
            </w:r>
          </w:p>
        </w:tc>
        <w:tc>
          <w:tcPr/>
          <w:p>
            <w:pPr>
              <w:pStyle w:val="Compact"/>
            </w:pPr>
            <w:r>
              <w:t xml:space="preserve">Verificar que existan niveles comunes entre homogeneidad y el esquema PT.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4" w:name="referencias-cruzadas"/>
    <w:p>
      <w:pPr>
        <w:pStyle w:val="Heading2"/>
      </w:pPr>
      <w:r>
        <w:t xml:space="preserve">9. Referencias Cruzadas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01_carga_datos.md</w:t>
        </w:r>
      </w:hyperlink>
      <w:r>
        <w:t xml:space="preserve">: Formatos de entrada.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09_puntajes_pt.md</w:t>
        </w:r>
      </w:hyperlink>
      <w:r>
        <w:t xml:space="preserve">: Lógica de cálculo de scores.</w:t>
      </w:r>
    </w:p>
    <w:p>
      <w:pPr>
        <w:pStyle w:val="Compact"/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13_valores_atipicos.md</w:t>
        </w:r>
      </w:hyperlink>
      <w:r>
        <w:t xml:space="preserve">: Detalles del test de Grubbs.</w:t>
      </w:r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00_glosario.md</w:t>
        </w:r>
      </w:hyperlink>
      <w:r>
        <w:t xml:space="preserve">: Definiciones de términos estadísticos.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00_glosario.md" TargetMode="External" /><Relationship Type="http://schemas.openxmlformats.org/officeDocument/2006/relationships/hyperlink" Id="rId30" Target="01_carga_datos.md" TargetMode="External" /><Relationship Type="http://schemas.openxmlformats.org/officeDocument/2006/relationships/hyperlink" Id="rId31" Target="09_puntajes_pt.md" TargetMode="External" /><Relationship Type="http://schemas.openxmlformats.org/officeDocument/2006/relationships/hyperlink" Id="rId32" Target="13_valores_atipic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00_glosario.md" TargetMode="External" /><Relationship Type="http://schemas.openxmlformats.org/officeDocument/2006/relationships/hyperlink" Id="rId30" Target="01_carga_datos.md" TargetMode="External" /><Relationship Type="http://schemas.openxmlformats.org/officeDocument/2006/relationships/hyperlink" Id="rId31" Target="09_puntajes_pt.md" TargetMode="External" /><Relationship Type="http://schemas.openxmlformats.org/officeDocument/2006/relationships/hyperlink" Id="rId32" Target="13_valores_atipic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2026-01-29T03:50:34Z</dcterms:created>
  <dcterms:modified xsi:type="dcterms:W3CDTF">2026-01-29T03:50:34Z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