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plantilla-de-informe-report_template.rmd"/>
    <w:p>
      <w:pPr>
        <w:pStyle w:val="Heading1"/>
      </w:pPr>
      <w:r>
        <w:t xml:space="preserve">14. Plantilla de Informe: report_template.Rmd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Referencia de la Plantilla de Informe RMarkdown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reports/report_template.Rmd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552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YAML + bloques R +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12_generacion_informes.md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05_puntajes_pt.md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04_homogeneidad_pt.md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report_template.Rmd</w:t>
      </w:r>
      <w:r>
        <w:t xml:space="preserve"> </w:t>
      </w:r>
      <w:r>
        <w:t xml:space="preserve">es una plantilla de RMarkdown para la generación automática de informes de ensayos de aptitud (PT). Implementa la estructura de informes de la norma ISO/IEC 17043:2023 con los métodos estadísticos de la norma ISO 13528:2022.</w:t>
      </w:r>
    </w:p>
    <w:bookmarkStart w:id="9" w:name="características-clave"/>
    <w:p>
      <w:pPr>
        <w:pStyle w:val="Heading3"/>
      </w:pPr>
      <w:r>
        <w:t xml:space="preserve">Características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Salida Multiformato</w:t>
      </w:r>
      <w:r>
        <w:t xml:space="preserve">: Soporte para Word, HTML y PDF.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Contenido Dinámico</w:t>
      </w:r>
      <w:r>
        <w:t xml:space="preserve">: Secciones y tablas impulsadas por parámetros.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Estilo de Tema PT</w:t>
      </w:r>
      <w:r>
        <w:t xml:space="preserve">: CSS personalizado que coincide con el diseño de la aplicación.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Integral</w:t>
      </w:r>
      <w:r>
        <w:t xml:space="preserve">: Homogeneidad, estabilidad, puntuación y compatibilidad metrológica.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Resultados por Participante</w:t>
      </w:r>
      <w:r>
        <w:t xml:space="preserve">: Matrices de desempeño individual y resúmenes.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Las capturas de pantalla y figuras en esta documentación deben actualizarse para reflejar el diseño actual del informe con la sección de compatibilidad metrológica y el manejo mejorado de los datos de los participantes.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ubicación-del-archivo"/>
    <w:p>
      <w:pPr>
        <w:pStyle w:val="Heading2"/>
      </w:pPr>
      <w:r>
        <w:t xml:space="preserve">2. Ubicación del Archivo</w:t>
      </w:r>
    </w:p>
    <w:p>
      <w:pPr>
        <w:pStyle w:val="SourceCode"/>
      </w:pPr>
      <w:r>
        <w:rPr>
          <w:rStyle w:val="VerbatimChar"/>
        </w:rPr>
        <w:t xml:space="preserve">pt_app/</w:t>
      </w:r>
      <w:r>
        <w:br/>
      </w:r>
      <w:r>
        <w:rPr>
          <w:rStyle w:val="VerbatimChar"/>
        </w:rPr>
        <w:t xml:space="preserve">└── reports/</w:t>
      </w:r>
      <w:r>
        <w:br/>
      </w:r>
      <w:r>
        <w:rPr>
          <w:rStyle w:val="VerbatimChar"/>
        </w:rPr>
        <w:t xml:space="preserve">    └── report_template.Rmd    # Plantilla de informe principal (552 líneas)</w:t>
      </w:r>
    </w:p>
    <w:p>
      <w:r>
        <w:pict>
          <v:rect style="width:0;height:1.5pt" o:hralign="center" o:hrstd="t" o:hr="t"/>
        </w:pict>
      </w:r>
    </w:p>
    <w:bookmarkEnd w:id="11"/>
    <w:bookmarkStart w:id="16" w:name="parámetros-encabezado-yaml"/>
    <w:p>
      <w:pPr>
        <w:pStyle w:val="Heading2"/>
      </w:pPr>
      <w:r>
        <w:t xml:space="preserve">3. Parámetros (Encabezado YAML)</w:t>
      </w:r>
    </w:p>
    <w:p>
      <w:pPr>
        <w:pStyle w:val="FirstParagraph"/>
      </w:pPr>
      <w:r>
        <w:t xml:space="preserve">La plantilla acepta numerosos parámetros para su personalización:</w:t>
      </w:r>
    </w:p>
    <w:bookmarkStart w:id="12" w:name="parámetros-de-datos-principales"/>
    <w:p>
      <w:pPr>
        <w:pStyle w:val="Heading3"/>
      </w:pPr>
      <w:r>
        <w:t xml:space="preserve">3.1 Parámetros de Datos Principales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Entradas de datos brutos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hom_data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     # Datos brutos de homogeneidad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stab_data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    # Datos brutos de estabilidad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 # Datos resumen de participantes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Configuración del análisis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"z"</w:t>
      </w:r>
      <w:r>
        <w:rPr>
          <w:rStyle w:val="CommentTok"/>
        </w:rPr>
        <w:t xml:space="preserve">                     # Tipo de puntaje: z, z', zeta, 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  <w:r>
        <w:rPr>
          <w:rStyle w:val="CommentTok"/>
        </w:rPr>
        <w:t xml:space="preserve">                     # Método de asignación: 1, 2a, 2b, 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pollutant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      # Contaminante(s) seleccionado(s)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"level_1"</w:t>
      </w:r>
      <w:r>
        <w:rPr>
          <w:rStyle w:val="CommentTok"/>
        </w:rPr>
        <w:t xml:space="preserve">                # Nivel(es) seleccionado(s)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n_lab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                        # Número de laboratorios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     # Factor de cobertura para incertidumbres</w:t>
      </w:r>
    </w:p>
    <w:bookmarkEnd w:id="12"/>
    <w:bookmarkStart w:id="13" w:name="parámetros-de-identificación"/>
    <w:p>
      <w:pPr>
        <w:pStyle w:val="Heading3"/>
      </w:pPr>
      <w:r>
        <w:t xml:space="preserve">3.2 Parámetros de Identificación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"EA-202X-XX"</w:t>
      </w:r>
      <w:r>
        <w:rPr>
          <w:rStyle w:val="CommentTok"/>
        </w:rPr>
        <w:t xml:space="preserve">         # Identificador del esquema 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"INF-202X-XX"</w:t>
      </w:r>
      <w:r>
        <w:rPr>
          <w:rStyle w:val="CommentTok"/>
        </w:rPr>
        <w:t xml:space="preserve">        # Identificador del informe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   # Fecha de emisión del informe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"Mes - Mes Año"</w:t>
      </w:r>
      <w:r>
        <w:rPr>
          <w:rStyle w:val="CommentTok"/>
        </w:rPr>
        <w:t xml:space="preserve">         # Periodo del esquema 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coordinator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CommentTok"/>
        </w:rPr>
        <w:t xml:space="preserve">           # Nombre del coordinador de EA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quality_pro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CommentTok"/>
        </w:rPr>
        <w:t xml:space="preserve">           # Nombre del profesional de calidad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ops_eng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CommentTok"/>
        </w:rPr>
        <w:t xml:space="preserve">               # Nombre del ingeniero operativo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quality_manager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CommentTok"/>
        </w:rPr>
        <w:t xml:space="preserve">       # Nombre del gestor de calidad</w:t>
      </w:r>
    </w:p>
    <w:bookmarkEnd w:id="13"/>
    <w:bookmarkStart w:id="14" w:name="parámetros-de-resumen-de-datos"/>
    <w:p>
      <w:pPr>
        <w:pStyle w:val="Heading3"/>
      </w:pPr>
      <w:r>
        <w:t xml:space="preserve">3.3 Parámetros de Resumen de Datos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participants_data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# Datos de instrumentación cargados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grubbs_summary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# Resumen de resultados de la prueba de Grubbs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xpt_summary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  # Tabla resumen del valor asignado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homogeneity_summary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# Resumen de resultados de homogeneidad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stability_summary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# Resumen de resultados de estabilidad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score_summary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# Resumen de puntajes generales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heatmaps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        # Mapas de calor pre-generados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participant_data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 # Datos detallados por participante</w:t>
      </w:r>
    </w:p>
    <w:bookmarkEnd w:id="14"/>
    <w:bookmarkStart w:id="15" w:name="parámetros-de-compatibilidad-metrológica"/>
    <w:p>
      <w:pPr>
        <w:pStyle w:val="Heading3"/>
      </w:pPr>
      <w:r>
        <w:t xml:space="preserve">3.4 Parámetros de Compatibilidad Metrológica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metrological_compatibility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         # Tabla de datos de compatibilidad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metrological_compatibility_method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"2a"</w:t>
      </w:r>
      <w:r>
        <w:rPr>
          <w:rStyle w:val="CommentTok"/>
        </w:rPr>
        <w:t xml:space="preserve">  # Método para comparación: 2a, 2b, 3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estructura-de-las-secciones-del-informe"/>
    <w:p>
      <w:pPr>
        <w:pStyle w:val="Heading2"/>
      </w:pPr>
      <w:r>
        <w:t xml:space="preserve">4. Estructura de las Secciones del Informe</w:t>
      </w:r>
    </w:p>
    <w:bookmarkStart w:id="17" w:name="sección-1-introducción"/>
    <w:p>
      <w:pPr>
        <w:pStyle w:val="Heading3"/>
      </w:pPr>
      <w:r>
        <w:t xml:space="preserve">4.1 Sección 1: Introducción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Subsección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Proveedor e Información del Esquema</w:t>
            </w:r>
          </w:p>
        </w:tc>
        <w:tc>
          <w:tcPr/>
          <w:p>
            <w:pPr>
              <w:pStyle w:val="Compact"/>
            </w:pPr>
            <w:r>
              <w:t xml:space="preserve">Alcance, objetivos, ID del esquema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Confidencialidad</w:t>
            </w:r>
          </w:p>
        </w:tc>
        <w:tc>
          <w:tcPr/>
          <w:p>
            <w:pPr>
              <w:pStyle w:val="Compact"/>
            </w:pPr>
            <w:r>
              <w:t xml:space="preserve">Política de protección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Personal Clave</w:t>
            </w:r>
          </w:p>
        </w:tc>
        <w:tc>
          <w:tcPr/>
          <w:p>
            <w:pPr>
              <w:pStyle w:val="Compact"/>
            </w:pPr>
            <w:r>
              <w:t xml:space="preserve">Coordinador, ingenieros, gestores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Participantes</w:t>
            </w:r>
          </w:p>
        </w:tc>
        <w:tc>
          <w:tcPr/>
          <w:p>
            <w:pPr>
              <w:pStyle w:val="Compact"/>
            </w:pPr>
            <w:r>
              <w:t xml:space="preserve">Códigos de laboratorios y tabla de instrumentación</w:t>
            </w:r>
          </w:p>
        </w:tc>
      </w:tr>
    </w:tbl>
    <w:bookmarkEnd w:id="17"/>
    <w:bookmarkStart w:id="18" w:name="sección-2-metodología"/>
    <w:p>
      <w:pPr>
        <w:pStyle w:val="Heading3"/>
      </w:pPr>
      <w:r>
        <w:t xml:space="preserve">4.2 Sección 2: Metodología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Subsección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Ítems de Ensayo</w:t>
            </w:r>
          </w:p>
        </w:tc>
        <w:tc>
          <w:tcPr/>
          <w:p>
            <w:pPr>
              <w:pStyle w:val="Compact"/>
            </w:pPr>
            <w:r>
              <w:t xml:space="preserve">Métodos de generación de gas, niveles de concentración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Homogeneidad y Estabilidad</w:t>
            </w:r>
          </w:p>
        </w:tc>
        <w:tc>
          <w:tcPr/>
          <w:p>
            <w:pPr>
              <w:pStyle w:val="Compact"/>
            </w:pPr>
            <w:r>
              <w:t xml:space="preserve">Métodos de verificación según ISO 13528 Anexo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Valor Asignado (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Determinación específica del método (Referencia/Consenso/Algoritmo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 Compatibilidad Metrológica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</w:t>
            </w:r>
            <w:r>
              <w:t xml:space="preserve"> </w:t>
            </w:r>
            <w:r>
              <w:t xml:space="preserve">Comparación entre los valores de referencia y consenso</w:t>
            </w:r>
          </w:p>
        </w:tc>
      </w:tr>
    </w:tbl>
    <w:bookmarkEnd w:id="18"/>
    <w:bookmarkStart w:id="19" w:name="sección-3-criterios-de-evaluación"/>
    <w:p>
      <w:pPr>
        <w:pStyle w:val="Heading3"/>
      </w:pPr>
      <w:r>
        <w:t xml:space="preserve">4.3 Sección 3: Criterios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Subsección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Indicadores de Desempeño</w:t>
            </w:r>
          </w:p>
        </w:tc>
        <w:tc>
          <w:tcPr/>
          <w:p>
            <w:pPr>
              <w:pStyle w:val="Compact"/>
            </w:pPr>
            <w:r>
              <w:t xml:space="preserve">Fórmulas y umbrales de z, z’, zeta, 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Tratamiento Estadístico</w:t>
            </w:r>
          </w:p>
        </w:tc>
        <w:tc>
          <w:tcPr/>
          <w:p>
            <w:pPr>
              <w:pStyle w:val="Compact"/>
            </w:pPr>
            <w:r>
              <w:t xml:space="preserve">Validación, identificación de atípicos (prueba de Grubbs)</w:t>
            </w:r>
          </w:p>
        </w:tc>
      </w:tr>
    </w:tbl>
    <w:bookmarkEnd w:id="19"/>
    <w:bookmarkStart w:id="20" w:name="sección-4-resultados-y-discusión"/>
    <w:p>
      <w:pPr>
        <w:pStyle w:val="Heading3"/>
      </w:pPr>
      <w:r>
        <w:t xml:space="preserve">4.4 Sección 4: Resultados y Discusión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Subsección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Resumen General</w:t>
            </w:r>
          </w:p>
        </w:tc>
        <w:tc>
          <w:tcPr/>
          <w:p>
            <w:pPr>
              <w:pStyle w:val="Compact"/>
            </w:pPr>
            <w:r>
              <w:t xml:space="preserve">Estadísticas de desempeño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Resultados por Contaminante</w:t>
            </w:r>
          </w:p>
        </w:tc>
        <w:tc>
          <w:tcPr/>
          <w:p>
            <w:pPr>
              <w:pStyle w:val="Compact"/>
            </w:pPr>
            <w:r>
              <w:t xml:space="preserve">Mapas de calor y tablas detalladas</w:t>
            </w:r>
          </w:p>
        </w:tc>
      </w:tr>
    </w:tbl>
    <w:bookmarkEnd w:id="20"/>
    <w:bookmarkStart w:id="21" w:name="anexos"/>
    <w:p>
      <w:pPr>
        <w:pStyle w:val="Heading3"/>
      </w:pPr>
      <w:r>
        <w:t xml:space="preserve">4.6 Anexos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Anexo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A</w:t>
            </w:r>
          </w:p>
        </w:tc>
        <w:tc>
          <w:tcPr/>
          <w:p>
            <w:pPr>
              <w:pStyle w:val="Compact"/>
            </w:pPr>
            <w:r>
              <w:t xml:space="preserve">Valores asignados y desviaciones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B</w:t>
            </w:r>
          </w:p>
        </w:tc>
        <w:tc>
          <w:tcPr/>
          <w:p>
            <w:pPr>
              <w:pStyle w:val="Compact"/>
            </w:pPr>
            <w:r>
              <w:t xml:space="preserve">Resúmenes de homogeneidad y estabilidad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C</w:t>
            </w:r>
          </w:p>
        </w:tc>
        <w:tc>
          <w:tcPr/>
          <w:p>
            <w:pPr>
              <w:pStyle w:val="Compact"/>
            </w:pPr>
            <w:r>
              <w:t xml:space="preserve">Resultados detallados por participante con gráficos de matriz</w:t>
            </w:r>
          </w:p>
        </w:tc>
      </w:tr>
    </w:tbl>
    <w:bookmarkEnd w:id="21"/>
    <w:bookmarkStart w:id="22" w:name="sección-2.4-compatibilidad-metrológica"/>
    <w:p>
      <w:pPr>
        <w:pStyle w:val="Heading3"/>
      </w:pPr>
      <w:r>
        <w:t xml:space="preserve">4.7 Sección 2.4: Compatibilidad Metrológica</w:t>
      </w:r>
    </w:p>
    <w:p>
      <w:pPr>
        <w:pStyle w:val="FirstParagraph"/>
      </w:pPr>
      <w:r>
        <w:rPr>
          <w:b/>
          <w:bCs/>
        </w:rPr>
        <w:t xml:space="preserve">Líneas</w:t>
      </w:r>
      <w:r>
        <w:t xml:space="preserve">: 312-352</w:t>
      </w:r>
      <w:r>
        <w:t xml:space="preserve"> </w:t>
      </w:r>
      <w:r>
        <w:rPr>
          <w:b/>
          <w:bCs/>
        </w:rPr>
        <w:t xml:space="preserve">Propósito</w:t>
      </w:r>
      <w:r>
        <w:t xml:space="preserve">: Evalúa la concordancia entre los valores de referencia y de consenso.</w:t>
      </w:r>
    </w:p>
    <w:p>
      <w:pPr>
        <w:pStyle w:val="BodyText"/>
      </w:pPr>
      <w:r>
        <w:rPr>
          <w:b/>
          <w:bCs/>
        </w:rPr>
        <w:t xml:space="preserve">Contenido Dinámico</w:t>
      </w:r>
      <w:r>
        <w:t xml:space="preserve">:</w:t>
      </w:r>
      <w:r>
        <w:t xml:space="preserve"> </w:t>
      </w:r>
      <w:r>
        <w:t xml:space="preserve">- Muestra la tabla de compatibilidad filtrada por el método seleccionado.</w:t>
      </w:r>
      <w:r>
        <w:t xml:space="preserve"> </w:t>
      </w:r>
      <w:r>
        <w:t xml:space="preserve">- Muestra las diferencias (D_2a, D_2b, D_3) entre x_pt(ref) y los valores de consenso.</w:t>
      </w:r>
      <w:r>
        <w:t xml:space="preserve"> </w:t>
      </w:r>
      <w:r>
        <w:t xml:space="preserve">- Adapta la visualización de las columnas basándose en el parámetro</w:t>
      </w:r>
      <w:r>
        <w:t xml:space="preserve"> </w:t>
      </w:r>
      <w:r>
        <w:rPr>
          <w:rStyle w:val="VerbatimChar"/>
        </w:rPr>
        <w:t xml:space="preserve">metrological_compatibility_method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Columnas de la Tabla</w:t>
      </w:r>
      <w:r>
        <w:t xml:space="preserve">:</w:t>
      </w:r>
      <w:r>
        <w:t xml:space="preserve"> </w:t>
      </w:r>
      <w:r>
        <w:t xml:space="preserve">- Método 2a: Muestra x_pt_ref, x_pt_2a, Diff_Ref_2a.</w:t>
      </w:r>
      <w:r>
        <w:t xml:space="preserve"> </w:t>
      </w:r>
      <w:r>
        <w:t xml:space="preserve">- Método 2b: Muestra x_pt_ref, x_pt_2b, Diff_Ref_2b.</w:t>
      </w:r>
      <w:r>
        <w:t xml:space="preserve"> </w:t>
      </w:r>
      <w:r>
        <w:t xml:space="preserve">- Método 3: Muestra x_pt_ref, x_pt_3 (Alg A), Diff_Ref_3.</w:t>
      </w:r>
    </w:p>
    <w:bookmarkEnd w:id="22"/>
    <w:bookmarkStart w:id="23" w:name="sección-5-conclusiones"/>
    <w:p>
      <w:pPr>
        <w:pStyle w:val="Heading3"/>
      </w:pPr>
      <w:r>
        <w:t xml:space="preserve">4.8 Sección 5: Conclusiones</w:t>
      </w:r>
    </w:p>
    <w:p>
      <w:pPr>
        <w:pStyle w:val="FirstParagraph"/>
      </w:pPr>
      <w:r>
        <w:t xml:space="preserve">Evaluación general de la conformidad, áreas de preocupación y acciones recomendadas.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funciones-auxiliares"/>
    <w:p>
      <w:pPr>
        <w:pStyle w:val="Heading2"/>
      </w:pPr>
      <w:r>
        <w:t xml:space="preserve">5. Funciones Auxiliares</w:t>
      </w:r>
    </w:p>
    <w:p>
      <w:pPr>
        <w:pStyle w:val="FirstParagraph"/>
      </w:pPr>
      <w:r>
        <w:t xml:space="preserve">La plantilla incluye funciones auxiliares independientes que replican la lógica de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para la independencia del informe. Tenga en cuenta que la plantilla utiliza funciones wrapper (líneas 132-139, 142-173) para interactuar con las funciones del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:</w:t>
      </w:r>
    </w:p>
    <w:bookmarkStart w:id="25" w:name="integración-con-el-paquete-ptcalc"/>
    <w:p>
      <w:pPr>
        <w:pStyle w:val="Heading3"/>
      </w:pPr>
      <w:r>
        <w:t xml:space="preserve">5.1 Integración con el Paquete ptcalc</w:t>
      </w:r>
    </w:p>
    <w:p>
      <w:pPr>
        <w:pStyle w:val="FirstParagraph"/>
      </w:pPr>
      <w:r>
        <w:t xml:space="preserve">La plantilla se integra con el paquete de cálculo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a través de funciones wrapper:</w:t>
      </w:r>
    </w:p>
    <w:p>
      <w:pPr>
        <w:pStyle w:val="SourceCode"/>
      </w:pPr>
      <w:r>
        <w:rPr>
          <w:rStyle w:val="CommentTok"/>
        </w:rPr>
        <w:t xml:space="preserve"># Wrapper para el cálculo de MADe</w:t>
      </w:r>
      <w:r>
        <w:br/>
      </w:r>
      <w:r>
        <w:rPr>
          <w:rStyle w:val="NormalTok"/>
        </w:rPr>
        <w:t xml:space="preserve">calculate_mad_e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ptcalc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calculate_mad_e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Wrapper para las estadísticas de homogeneidad</w:t>
      </w:r>
      <w:r>
        <w:br/>
      </w:r>
      <w:r>
        <w:rPr>
          <w:rStyle w:val="NormalTok"/>
        </w:rPr>
        <w:t xml:space="preserve">calculate_homogeneity_stats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ptcalc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calculate_homogeneity_stats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Estos wrappers aseguran un manejo adecuado de los errores y tipos de retorno consistentes.</w:t>
      </w:r>
    </w:p>
    <w:bookmarkEnd w:id="25"/>
    <w:bookmarkStart w:id="26" w:name="calculate_niqr"/>
    <w:p>
      <w:pPr>
        <w:pStyle w:val="Heading3"/>
      </w:pPr>
      <w:r>
        <w:t xml:space="preserve">5.2 calculate_niqr()</w:t>
      </w:r>
    </w:p>
    <w:p>
      <w:pPr>
        <w:pStyle w:val="SourceCode"/>
      </w:pPr>
      <w:r>
        <w:rPr>
          <w:rStyle w:val="NormalTok"/>
        </w:rPr>
        <w:t xml:space="preserve">calculate_niqr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(x_clean)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quartiles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(x_clean,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0.7413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(quartiles[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quartiles[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Calcular el IQR normalizado para la estimación robusta de la dispersión.</w:t>
      </w:r>
    </w:p>
    <w:bookmarkEnd w:id="26"/>
    <w:bookmarkStart w:id="27" w:name="get_wide_data"/>
    <w:p>
      <w:pPr>
        <w:pStyle w:val="Heading3"/>
      </w:pPr>
      <w:r>
        <w:t xml:space="preserve">5.2 get_wide_data()</w:t>
      </w:r>
    </w:p>
    <w:p>
      <w:pPr>
        <w:pStyle w:val="SourceCode"/>
      </w:pPr>
      <w:r>
        <w:rPr>
          <w:rStyle w:val="NormalTok"/>
        </w:rPr>
        <w:t xml:space="preserve">get_wide_data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target_pollutant) {</w:t>
      </w:r>
      <w:r>
        <w:br/>
      </w:r>
      <w:r>
        <w:rPr>
          <w:rStyle w:val="NormalTok"/>
        </w:rPr>
        <w:t xml:space="preserve">  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target_pollutant)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pollutant)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replicate,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Transformar los datos de formato largo a formato ancho para el análisis.</w:t>
      </w:r>
    </w:p>
    <w:bookmarkEnd w:id="27"/>
    <w:bookmarkStart w:id="28" w:name="run_algorithm_a"/>
    <w:p>
      <w:pPr>
        <w:pStyle w:val="Heading3"/>
      </w:pPr>
      <w:r>
        <w:t xml:space="preserve">5.3 run_algorithm_a()</w:t>
      </w:r>
    </w:p>
    <w:p>
      <w:pPr>
        <w:pStyle w:val="SourceCode"/>
      </w:pPr>
      <w:r>
        <w:rPr>
          <w:rStyle w:val="NormalTok"/>
        </w:rPr>
        <w:t xml:space="preserve">run_algorithm_a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max_iter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Implementación del Algoritmo A de la ISO 13528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Retorna: list(mean = x_star, sd = s_star, error = NULL/mensaje)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Calcular la media y la desviación estándar robustas utilizando el Algoritmo A de la ISO 13528.</w:t>
      </w:r>
    </w:p>
    <w:bookmarkEnd w:id="28"/>
    <w:bookmarkStart w:id="29" w:name="compute_homogeneity"/>
    <w:p>
      <w:pPr>
        <w:pStyle w:val="Heading3"/>
      </w:pPr>
      <w:r>
        <w:t xml:space="preserve">5.4 compute_homogeneity()</w:t>
      </w:r>
    </w:p>
    <w:p>
      <w:pPr>
        <w:pStyle w:val="SourceCode"/>
      </w:pPr>
      <w:r>
        <w:rPr>
          <w:rStyle w:val="NormalTok"/>
        </w:rPr>
        <w:t xml:space="preserve">compute_homogeneity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(data_full, pol, lev)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Cálculo de homogeneidad basado en ANOVA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Retorna: list(ss, sw, sigma_pt, c_crit, mean, passed)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Calcular las desviaciones estándar entre muestras (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) y dentro de las muestras (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ormatos-de-salida"/>
    <w:p>
      <w:pPr>
        <w:pStyle w:val="Heading2"/>
      </w:pPr>
      <w:r>
        <w:t xml:space="preserve">6. Formatos de Salida</w:t>
      </w:r>
    </w:p>
    <w:bookmarkStart w:id="31" w:name="documento-word"/>
    <w:p>
      <w:pPr>
        <w:pStyle w:val="Heading3"/>
      </w:pPr>
      <w:r>
        <w:t xml:space="preserve">6.1 Documento Word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word_document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reference_docx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# Opcional: plantilla personalizada</w:t>
      </w:r>
    </w:p>
    <w:bookmarkEnd w:id="31"/>
    <w:bookmarkStart w:id="32" w:name="documento-html"/>
    <w:p>
      <w:pPr>
        <w:pStyle w:val="Heading3"/>
      </w:pPr>
      <w:r>
        <w:t xml:space="preserve">6.2 Documento HTML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toc_float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Navegación lateral flotante</w:t>
      </w:r>
    </w:p>
    <w:p>
      <w:pPr>
        <w:pStyle w:val="FirstParagraph"/>
      </w:pPr>
      <w:r>
        <w:t xml:space="preserve">Incluye CSS personalizado para el estilo del tema PT (acentos amarillos, enlaces de marca).</w:t>
      </w:r>
    </w:p>
    <w:bookmarkEnd w:id="32"/>
    <w:bookmarkStart w:id="33" w:name="documento-pdf"/>
    <w:p>
      <w:pPr>
        <w:pStyle w:val="Heading3"/>
      </w:pPr>
      <w:r>
        <w:t xml:space="preserve">6.3 Documento PDF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latex_engine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pdflatex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ilo-personalizado"/>
    <w:p>
      <w:pPr>
        <w:pStyle w:val="Heading2"/>
      </w:pPr>
      <w:r>
        <w:t xml:space="preserve">7. Estilo Personalizado</w:t>
      </w:r>
    </w:p>
    <w:p>
      <w:pPr>
        <w:pStyle w:val="FirstParagraph"/>
      </w:pPr>
      <w:r>
        <w:t xml:space="preserve">La plantilla incluye CSS embebido para la salida HTML:</w:t>
      </w:r>
    </w:p>
    <w:p>
      <w:pPr>
        <w:pStyle w:val="SourceCode"/>
      </w:pPr>
      <w:r>
        <w:rPr>
          <w:rStyle w:val="CommentTok"/>
        </w:rPr>
        <w:t xml:space="preserve">/* Elementos de la TOC activos - Amarillo PT */</w:t>
      </w:r>
      <w:r>
        <w:br/>
      </w:r>
      <w:r>
        <w:rPr>
          <w:rStyle w:val="FunctionTok"/>
        </w:rPr>
        <w:t xml:space="preserve">.list-group-item.active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Estilo de los títulos */</w:t>
      </w:r>
      <w:r>
        <w:br/>
      </w:r>
      <w:r>
        <w:rPr>
          <w:rStyle w:val="NormalTok"/>
        </w:rPr>
        <w:t xml:space="preserve">h1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Colores de los enlaces */</w:t>
      </w:r>
      <w:r>
        <w:br/>
      </w:r>
      <w:r>
        <w:rPr>
          <w:rStyle w:val="NormalTok"/>
        </w:rPr>
        <w:t xml:space="preserve">a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#E5A610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Resaltado de selección */</w:t>
      </w:r>
      <w:r>
        <w:br/>
      </w:r>
      <w:r>
        <w:rPr>
          <w:rStyle w:val="InformationTok"/>
        </w:rPr>
        <w:t xml:space="preserve">::selection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41" w:name="características-dinámicas-clave"/>
    <w:p>
      <w:pPr>
        <w:pStyle w:val="Heading2"/>
      </w:pPr>
      <w:r>
        <w:t xml:space="preserve">8. Características Dinámicas Clave</w:t>
      </w:r>
    </w:p>
    <w:bookmarkStart w:id="36" w:name="selección-del-método-de-valor-asignado"/>
    <w:p>
      <w:pPr>
        <w:pStyle w:val="Heading3"/>
      </w:pPr>
      <w:r>
        <w:t xml:space="preserve">8.1 Selección del Método de Valor Asignado</w:t>
      </w:r>
    </w:p>
    <w:p>
      <w:pPr>
        <w:pStyle w:val="FirstParagraph"/>
      </w:pPr>
      <w:r>
        <w:t xml:space="preserve">La plantilla ajusta automáticamente el texto basándose en</w:t>
      </w:r>
      <w:r>
        <w:t xml:space="preserve"> </w:t>
      </w:r>
      <w:r>
        <w:rPr>
          <w:rStyle w:val="VerbatimChar"/>
        </w:rPr>
        <w:t xml:space="preserve">params$method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"1"</w:t>
            </w:r>
          </w:p>
        </w:tc>
        <w:tc>
          <w:tcPr/>
          <w:p>
            <w:pPr>
              <w:pStyle w:val="Compact"/>
            </w:pPr>
            <w:r>
              <w:t xml:space="preserve">Valor del laboratorio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"2a"</w:t>
            </w:r>
          </w:p>
        </w:tc>
        <w:tc>
          <w:tcPr/>
          <w:p>
            <w:pPr>
              <w:pStyle w:val="Compact"/>
            </w:pPr>
            <w:r>
              <w:t xml:space="preserve">Consenso (Mediana + MADe)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"2b"</w:t>
            </w:r>
          </w:p>
        </w:tc>
        <w:tc>
          <w:tcPr/>
          <w:p>
            <w:pPr>
              <w:pStyle w:val="Compact"/>
            </w:pPr>
            <w:r>
              <w:t xml:space="preserve">Consenso (Mediana + nIQR)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"3"</w:t>
            </w:r>
          </w:p>
        </w:tc>
        <w:tc>
          <w:tcPr/>
          <w:p>
            <w:pPr>
              <w:pStyle w:val="Compact"/>
            </w:pPr>
            <w:r>
              <w:t xml:space="preserve">Consenso (Algoritmo A)</w:t>
            </w:r>
          </w:p>
        </w:tc>
      </w:tr>
    </w:tbl>
    <w:bookmarkEnd w:id="36"/>
    <w:bookmarkStart w:id="37" w:name="compatibilidad-metrológica"/>
    <w:p>
      <w:pPr>
        <w:pStyle w:val="Heading3"/>
      </w:pPr>
      <w:r>
        <w:t xml:space="preserve">8.2 Compatibilidad Metrológica</w:t>
      </w:r>
    </w:p>
    <w:p>
      <w:pPr>
        <w:pStyle w:val="FirstParagraph"/>
      </w:pPr>
      <w:r>
        <w:rPr>
          <w:b/>
          <w:bCs/>
        </w:rPr>
        <w:t xml:space="preserve">Nueva característica</w:t>
      </w:r>
      <w:r>
        <w:t xml:space="preserve">: La Sección 2.4 muestra la comparación entre los valores de referencia y los valores de consenso:</w:t>
      </w:r>
    </w:p>
    <w:p>
      <w:pPr>
        <w:pStyle w:val="BlockText"/>
      </w:pPr>
      <w:r>
        <w:rPr>
          <w:b/>
          <w:bCs/>
        </w:rPr>
        <w:t xml:space="preserve">Actualización de Captura de Pantalla Requerida</w:t>
      </w:r>
      <w:r>
        <w:t xml:space="preserve">: La sección de compatibilidad metrológica debe mostrar:</w:t>
      </w:r>
      <w:r>
        <w:t xml:space="preserve"> </w:t>
      </w:r>
      <w:r>
        <w:t xml:space="preserve">- Tabla de comparación que muestra x_pt_ref y el método de consenso seleccionado.</w:t>
      </w:r>
      <w:r>
        <w:t xml:space="preserve"> </w:t>
      </w:r>
      <w:r>
        <w:t xml:space="preserve">- Columnas de diferencia (D_2a, D_2b o D_3 dependiendo del método seleccionado).</w:t>
      </w:r>
      <w:r>
        <w:t xml:space="preserve"> </w:t>
      </w:r>
      <w:r>
        <w:t xml:space="preserve">- Indicadores de estado codificados por colores si se define el umbral de compatibilidad.</w:t>
      </w:r>
    </w:p>
    <w:p>
      <w:pPr>
        <w:pStyle w:val="SourceCode"/>
      </w:pPr>
      <w:r>
        <w:rPr>
          <w:rStyle w:val="CommentTok"/>
        </w:rPr>
        <w:t xml:space="preserve"># Texto dinámico basado en el método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"Diferencias entre x_pt,ref y x_pt,2a..."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"2b"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"Diferencias entre x_pt,ref y x_pt,2b..."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"Diferencias entre x_pt,ref y x_pt,3..."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 tabla de compatibilidad muestra:</w:t>
      </w:r>
      <w:r>
        <w:t xml:space="preserve"> </w:t>
      </w:r>
      <w:r>
        <w:t xml:space="preserve">- Contaminante y nivel</w:t>
      </w:r>
      <w:r>
        <w:t xml:space="preserve"> </w:t>
      </w:r>
      <w:r>
        <w:t xml:space="preserve">- Valor de referencia</w:t>
      </w:r>
      <w:r>
        <w:t xml:space="preserve"> </w:t>
      </w:r>
      <w:r>
        <w:t xml:space="preserve">- Valor de consenso (basado en el método seleccionado)</w:t>
      </w:r>
      <w:r>
        <w:t xml:space="preserve"> </w:t>
      </w:r>
      <w:r>
        <w:t xml:space="preserve">- Diferencia (Ref - Consenso)</w:t>
      </w:r>
    </w:p>
    <w:bookmarkEnd w:id="37"/>
    <w:bookmarkStart w:id="38" w:name="selección-de-la-métrica-de-desempeño"/>
    <w:p>
      <w:pPr>
        <w:pStyle w:val="Heading3"/>
      </w:pPr>
      <w:r>
        <w:t xml:space="preserve">8.3 Selección de la Métrica de Desempeño</w:t>
      </w:r>
    </w:p>
    <w:p>
      <w:pPr>
        <w:pStyle w:val="FirstParagraph"/>
      </w:pPr>
      <w:r>
        <w:t xml:space="preserve">La plantilla ajusta las fórmulas y los umbrales basándose en</w:t>
      </w:r>
      <w:r>
        <w:t xml:space="preserve"> </w:t>
      </w:r>
      <w:r>
        <w:rPr>
          <w:rStyle w:val="VerbatimChar"/>
        </w:rPr>
        <w:t xml:space="preserve">params$metric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Umbrales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≤2.0 Satisfactorio, 2-3 Cuestionable, ≥3 No satisfactorio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z'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p</m:t>
                          </m:r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Igual que 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zeta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Igual que 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p</m:t>
                          </m:r>
                          <m:r>
                            <m:t>t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≤1.0 Satisfactorio, &gt;1.0 No satisfactorio</w:t>
            </w:r>
          </w:p>
        </w:tc>
      </w:tr>
    </w:tbl>
    <w:bookmarkEnd w:id="38"/>
    <w:bookmarkStart w:id="39" w:name="integración-de-mapas-de-calor"/>
    <w:p>
      <w:pPr>
        <w:pStyle w:val="Heading3"/>
      </w:pPr>
      <w:r>
        <w:t xml:space="preserve">8.4 Integración de Mapas de Calor</w:t>
      </w:r>
    </w:p>
    <w:p>
      <w:pPr>
        <w:pStyle w:val="FirstParagraph"/>
      </w:pPr>
      <w:r>
        <w:t xml:space="preserve">Los mapas de calor pre-generados se incrustan por contaminante: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heatmaps)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heatmaps)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heatmaps))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### Resultados para"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(pol),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heatmaps[[pol]])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resultados-por-participante"/>
    <w:p>
      <w:pPr>
        <w:pStyle w:val="Heading3"/>
      </w:pPr>
      <w:r>
        <w:t xml:space="preserve">8.5 Resultados por Participante</w:t>
      </w:r>
    </w:p>
    <w:p>
      <w:pPr>
        <w:pStyle w:val="FirstParagraph"/>
      </w:pPr>
      <w:r>
        <w:t xml:space="preserve">El Anexo C itera a través de los datos de los participantes: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(pid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participant_data)) {</w:t>
      </w:r>
      <w:r>
        <w:br/>
      </w:r>
      <w:r>
        <w:rPr>
          <w:rStyle w:val="NormalTok"/>
        </w:rPr>
        <w:t xml:space="preserve">  p_info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participant_data[[pid]]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Gráfico de matriz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matrix_plot)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Tabla resumen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summary_table, ...))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newpage"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Salto de página entre participantes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equisitos-de-datos"/>
    <w:p>
      <w:pPr>
        <w:pStyle w:val="Heading2"/>
      </w:pPr>
      <w:r>
        <w:t xml:space="preserve">9. Requisitos de Datos</w:t>
      </w:r>
    </w:p>
    <w:bookmarkStart w:id="42" w:name="parámetros-requeridos"/>
    <w:p>
      <w:pPr>
        <w:pStyle w:val="Heading3"/>
      </w:pPr>
      <w:r>
        <w:t xml:space="preserve">9.1 Parámetros Requeridos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summary_data</w:t>
            </w:r>
          </w:p>
        </w:tc>
        <w:tc>
          <w:tcPr/>
          <w:p>
            <w:pPr>
              <w:pStyle w:val="Compact"/>
            </w:pPr>
            <w:r>
              <w:t xml:space="preserve">data.frame</w:t>
            </w:r>
          </w:p>
        </w:tc>
        <w:tc>
          <w:tcPr/>
          <w:p>
            <w:pPr>
              <w:pStyle w:val="Compact"/>
            </w:pPr>
            <w:r>
              <w:t xml:space="preserve">Resultados de los participantes con las columnas: participant_id, pollutant, level, run, mean_value, n_lab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carácter</w:t>
            </w:r>
          </w:p>
        </w:tc>
        <w:tc>
          <w:tcPr/>
          <w:p>
            <w:pPr>
              <w:pStyle w:val="Compact"/>
            </w:pPr>
            <w:r>
              <w:t xml:space="preserve">Selección del tipo de puntaje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carácter</w:t>
            </w:r>
          </w:p>
        </w:tc>
        <w:tc>
          <w:tcPr/>
          <w:p>
            <w:pPr>
              <w:pStyle w:val="Compact"/>
            </w:pPr>
            <w:r>
              <w:t xml:space="preserve">Método de asignación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n_lab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t xml:space="preserve">Número de laboratorios</w:t>
            </w:r>
          </w:p>
        </w:tc>
      </w:tr>
    </w:tbl>
    <w:bookmarkEnd w:id="42"/>
    <w:bookmarkStart w:id="43" w:name="parámetros-de-mejora-opcionales"/>
    <w:p>
      <w:pPr>
        <w:pStyle w:val="Heading3"/>
      </w:pPr>
      <w:r>
        <w:t xml:space="preserve">9.2 Parámetros de Mejora Opcionales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participants_data</w:t>
            </w:r>
          </w:p>
        </w:tc>
        <w:tc>
          <w:tcPr/>
          <w:p>
            <w:pPr>
              <w:pStyle w:val="Compact"/>
            </w:pPr>
            <w:r>
              <w:t xml:space="preserve">data.frame</w:t>
            </w:r>
          </w:p>
        </w:tc>
        <w:tc>
          <w:tcPr/>
          <w:p>
            <w:pPr>
              <w:pStyle w:val="Compact"/>
            </w:pPr>
            <w:r>
              <w:t xml:space="preserve">Información del instrumento por laboratorio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heatmaps</w:t>
            </w:r>
          </w:p>
        </w:tc>
        <w:tc>
          <w:tcPr/>
          <w:p>
            <w:pPr>
              <w:pStyle w:val="Compact"/>
            </w:pPr>
            <w:r>
              <w:t xml:space="preserve">lista nombrada</w:t>
            </w:r>
          </w:p>
        </w:tc>
        <w:tc>
          <w:tcPr/>
          <w:p>
            <w:pPr>
              <w:pStyle w:val="Compact"/>
            </w:pPr>
            <w:r>
              <w:t xml:space="preserve">Mapas de calor ggplot pre-renderizados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participant_data</w:t>
            </w:r>
          </w:p>
        </w:tc>
        <w:tc>
          <w:tcPr/>
          <w:p>
            <w:pPr>
              <w:pStyle w:val="Compact"/>
            </w:pPr>
            <w:r>
              <w:t xml:space="preserve">lista nombrada</w:t>
            </w:r>
          </w:p>
        </w:tc>
        <w:tc>
          <w:tcPr/>
          <w:p>
            <w:pPr>
              <w:pStyle w:val="Compact"/>
            </w:pPr>
            <w:r>
              <w:t xml:space="preserve">Resultados por participante (matrix_plot, summary_table)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metrological_compatibility</w:t>
            </w:r>
          </w:p>
        </w:tc>
        <w:tc>
          <w:tcPr/>
          <w:p>
            <w:pPr>
              <w:pStyle w:val="Compact"/>
            </w:pPr>
            <w:r>
              <w:t xml:space="preserve">data.frame</w:t>
            </w:r>
          </w:p>
        </w:tc>
        <w:tc>
          <w:tcPr/>
          <w:p>
            <w:pPr>
              <w:pStyle w:val="Compact"/>
            </w:pPr>
            <w:r>
              <w:t xml:space="preserve">Comparación referencia vs consenso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guía-de-personalización"/>
    <w:p>
      <w:pPr>
        <w:pStyle w:val="Heading2"/>
      </w:pPr>
      <w:r>
        <w:t xml:space="preserve">10. Guía de Personalización</w:t>
      </w:r>
    </w:p>
    <w:bookmarkStart w:id="45" w:name="añadir-una-nueva-sección"/>
    <w:p>
      <w:pPr>
        <w:pStyle w:val="Heading3"/>
      </w:pPr>
      <w:r>
        <w:t xml:space="preserve">10.1 Añadir una Nueva Sección</w:t>
      </w:r>
    </w:p>
    <w:p>
      <w:pPr>
        <w:pStyle w:val="Compact"/>
        <w:numPr>
          <w:ilvl w:val="0"/>
          <w:numId w:val="1002"/>
        </w:numPr>
      </w:pPr>
      <w:r>
        <w:t xml:space="preserve">Añada el contenido después del número de sección apropiado.</w:t>
      </w:r>
    </w:p>
    <w:p>
      <w:pPr>
        <w:pStyle w:val="Compact"/>
        <w:numPr>
          <w:ilvl w:val="0"/>
          <w:numId w:val="1002"/>
        </w:numPr>
      </w:pPr>
      <w:r>
        <w:t xml:space="preserve">Utilice niveles de encabezado consistentes (# para secciones principales, ## para subsecciones).</w:t>
      </w:r>
    </w:p>
    <w:p>
      <w:pPr>
        <w:pStyle w:val="Compact"/>
        <w:numPr>
          <w:ilvl w:val="0"/>
          <w:numId w:val="1002"/>
        </w:numPr>
      </w:pPr>
      <w:r>
        <w:t xml:space="preserve">Envuelva el contenido dinámico en bloques R con las opciones apropiadas.</w:t>
      </w:r>
    </w:p>
    <w:bookmarkEnd w:id="45"/>
    <w:bookmarkStart w:id="46" w:name="modificar-tablas"/>
    <w:p>
      <w:pPr>
        <w:pStyle w:val="Heading3"/>
      </w:pPr>
      <w:r>
        <w:t xml:space="preserve">10.2 Modificar Tablas</w:t>
      </w:r>
    </w:p>
    <w:p>
      <w:pPr>
        <w:pStyle w:val="FirstParagraph"/>
      </w:pPr>
      <w:r>
        <w:t xml:space="preserve">Las tablas utilizan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kableExtra</w:t>
      </w:r>
      <w:r>
        <w:t xml:space="preserve"> </w:t>
      </w:r>
      <w:r>
        <w:t xml:space="preserve">para el estilo: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"Tabla X. Descripción"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escape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Permitir HTML en las celdas</w:t>
      </w:r>
    </w:p>
    <w:bookmarkEnd w:id="46"/>
    <w:bookmarkStart w:id="47" w:name="añadir-nuevos-parámetros"/>
    <w:p>
      <w:pPr>
        <w:pStyle w:val="Heading3"/>
      </w:pPr>
      <w:r>
        <w:t xml:space="preserve">10.3 Añadir Nuevos Parámetros</w:t>
      </w:r>
    </w:p>
    <w:p>
      <w:pPr>
        <w:pStyle w:val="Compact"/>
        <w:numPr>
          <w:ilvl w:val="0"/>
          <w:numId w:val="1003"/>
        </w:numPr>
      </w:pPr>
      <w:r>
        <w:t xml:space="preserve">Añada al encabezado YAML bajo</w:t>
      </w:r>
      <w:r>
        <w:t xml:space="preserve"> </w:t>
      </w:r>
      <w:r>
        <w:rPr>
          <w:rStyle w:val="VerbatimChar"/>
        </w:rPr>
        <w:t xml:space="preserve">params:</w:t>
      </w:r>
    </w:p>
    <w:p>
      <w:pPr>
        <w:pStyle w:val="Compact"/>
        <w:numPr>
          <w:ilvl w:val="0"/>
          <w:numId w:val="1003"/>
        </w:numPr>
      </w:pPr>
      <w:r>
        <w:t xml:space="preserve">Referencie con</w:t>
      </w:r>
      <w:r>
        <w:t xml:space="preserve"> </w:t>
      </w:r>
      <w:r>
        <w:rPr>
          <w:rStyle w:val="VerbatimChar"/>
        </w:rPr>
        <w:t xml:space="preserve">params$nombre_parametro</w:t>
      </w:r>
    </w:p>
    <w:p>
      <w:pPr>
        <w:pStyle w:val="Compact"/>
        <w:numPr>
          <w:ilvl w:val="0"/>
          <w:numId w:val="1003"/>
        </w:numPr>
      </w:pPr>
      <w:r>
        <w:t xml:space="preserve">Añada el manejo condicional para los valores NA.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olución-de-problemas"/>
    <w:p>
      <w:pPr>
        <w:pStyle w:val="Heading2"/>
      </w:pPr>
      <w:r>
        <w:t xml:space="preserve">11. Solución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tablas no se renderizan</w:t>
            </w:r>
          </w:p>
        </w:tc>
        <w:tc>
          <w:tcPr/>
          <w:p>
            <w:pPr>
              <w:pStyle w:val="Compact"/>
            </w:pPr>
            <w:r>
              <w:t xml:space="preserve">Datos NA</w:t>
            </w:r>
          </w:p>
        </w:tc>
        <w:tc>
          <w:tcPr/>
          <w:p>
            <w:pPr>
              <w:pStyle w:val="Compact"/>
            </w:pPr>
            <w:r>
              <w:t xml:space="preserve">Añada verificaciones de nulo:</w:t>
            </w:r>
            <w:r>
              <w:t xml:space="preserve"> </w:t>
            </w:r>
            <w:r>
              <w:rPr>
                <w:rStyle w:val="VerbatimChar"/>
              </w:rPr>
              <w:t xml:space="preserve">if (!is.null(params$data))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de LaTeX en PDF</w:t>
            </w:r>
          </w:p>
        </w:tc>
        <w:tc>
          <w:tcPr/>
          <w:p>
            <w:pPr>
              <w:pStyle w:val="Compact"/>
            </w:pPr>
            <w:r>
              <w:t xml:space="preserve">Caracteres especiales</w:t>
            </w:r>
          </w:p>
        </w:tc>
        <w:tc>
          <w:tcPr/>
          <w:p>
            <w:pPr>
              <w:pStyle w:val="Compact"/>
            </w:pPr>
            <w:r>
              <w:t xml:space="preserve">Escape los guiones bajos, use</w:t>
            </w:r>
            <w:r>
              <w:t xml:space="preserve"> </w:t>
            </w:r>
            <w:r>
              <w:rPr>
                <w:rStyle w:val="VerbatimChar"/>
              </w:rPr>
              <w:t xml:space="preserve">$...$</w:t>
            </w:r>
            <w:r>
              <w:t xml:space="preserve"> </w:t>
            </w:r>
            <w:r>
              <w:t xml:space="preserve">para las matemáticas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Faltan mapas de calor</w:t>
            </w:r>
          </w:p>
        </w:tc>
        <w:tc>
          <w:tcPr/>
          <w:p>
            <w:pPr>
              <w:pStyle w:val="Compact"/>
            </w:pPr>
            <w:r>
              <w:t xml:space="preserve">No se pasan desde la aplicación</w:t>
            </w:r>
          </w:p>
        </w:tc>
        <w:tc>
          <w:tcPr/>
          <w:p>
            <w:pPr>
              <w:pStyle w:val="Compact"/>
            </w:pPr>
            <w:r>
              <w:t xml:space="preserve">Verifique que</w:t>
            </w:r>
            <w:r>
              <w:t xml:space="preserve"> </w:t>
            </w:r>
            <w:r>
              <w:rPr>
                <w:rStyle w:val="VerbatimChar"/>
              </w:rPr>
              <w:t xml:space="preserve">params$heatmaps</w:t>
            </w:r>
            <w:r>
              <w:t xml:space="preserve"> </w:t>
            </w:r>
            <w:r>
              <w:t xml:space="preserve">esté poblado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Recuento de columnas incorrecto</w:t>
            </w:r>
          </w:p>
        </w:tc>
        <w:tc>
          <w:tcPr/>
          <w:p>
            <w:pPr>
              <w:pStyle w:val="Compact"/>
            </w:pPr>
            <w:r>
              <w:t xml:space="preserve">Discrepancia en el formato de datos</w:t>
            </w:r>
          </w:p>
        </w:tc>
        <w:tc>
          <w:tcPr/>
          <w:p>
            <w:pPr>
              <w:pStyle w:val="Compact"/>
            </w:pPr>
            <w:r>
              <w:t xml:space="preserve">Verifique los nombres de columna esperados frente a los reales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ver-también"/>
    <w:p>
      <w:pPr>
        <w:pStyle w:val="Heading2"/>
      </w:pPr>
      <w:r>
        <w:t xml:space="preserve">12. Ver También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12_generacion_informes.md</w:t>
        </w:r>
      </w:hyperlink>
      <w:r>
        <w:t xml:space="preserve"> </w:t>
      </w:r>
      <w:r>
        <w:t xml:space="preserve">- Documentación del módulo de generación de informes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05_puntajes_pt.md</w:t>
        </w:r>
      </w:hyperlink>
      <w:r>
        <w:t xml:space="preserve"> </w:t>
      </w:r>
      <w:r>
        <w:t xml:space="preserve">- Fórmulas de cálculo de puntajes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04_homogeneidad_pt.md</w:t>
        </w:r>
      </w:hyperlink>
      <w:r>
        <w:t xml:space="preserve"> </w:t>
      </w:r>
      <w:r>
        <w:t xml:space="preserve">- Criterios de homogeneidad/estabilidad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ISO 13528:2022</w:t>
        </w:r>
      </w:hyperlink>
      <w:r>
        <w:t xml:space="preserve"> </w:t>
      </w:r>
      <w:r>
        <w:t xml:space="preserve">- Métodos estadísticos para los ensayos de aptitud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ISO 17043:2023</w:t>
        </w:r>
      </w:hyperlink>
      <w:r>
        <w:t xml:space="preserve"> </w:t>
      </w:r>
      <w:r>
        <w:t xml:space="preserve">- Requisitos generales para los ensayos de aptitud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04_homogeneidad_pt.md" TargetMode="External" /><Relationship Type="http://schemas.openxmlformats.org/officeDocument/2006/relationships/hyperlink" Id="rId51" Target="05_puntajes_pt.md" TargetMode="External" /><Relationship Type="http://schemas.openxmlformats.org/officeDocument/2006/relationships/hyperlink" Id="rId50" Target="12_generacion_informes.md" TargetMode="External" /><Relationship Type="http://schemas.openxmlformats.org/officeDocument/2006/relationships/hyperlink" Id="rId53" Target="https://www.iso.org/standard/78879.html" TargetMode="External" /><Relationship Type="http://schemas.openxmlformats.org/officeDocument/2006/relationships/hyperlink" Id="rId54" Target="https://www.iso.org/standard/7991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04_homogeneidad_pt.md" TargetMode="External" /><Relationship Type="http://schemas.openxmlformats.org/officeDocument/2006/relationships/hyperlink" Id="rId51" Target="05_puntajes_pt.md" TargetMode="External" /><Relationship Type="http://schemas.openxmlformats.org/officeDocument/2006/relationships/hyperlink" Id="rId50" Target="12_generacion_informes.md" TargetMode="External" /><Relationship Type="http://schemas.openxmlformats.org/officeDocument/2006/relationships/hyperlink" Id="rId53" Target="https://www.iso.org/standard/78879.html" TargetMode="External" /><Relationship Type="http://schemas.openxmlformats.org/officeDocument/2006/relationships/hyperlink" Id="rId54" Target="https://www.iso.org/standard/7991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2026-01-29T03:50:35Z</dcterms:created>
  <dcterms:modified xsi:type="dcterms:W3CDTF">2026-01-29T03:50:35Z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