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guía-de-personalización"/>
    <w:p>
      <w:pPr>
        <w:pStyle w:val="Heading1"/>
      </w:pPr>
      <w:r>
        <w:t xml:space="preserve">16. Guía de Personalización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Guía de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15_arquitectura.md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02_paquete_ptcalc.md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02a_api_ptcalc.md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01a_formatos_datos.md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Esta guía cubre varias formas de personalizar el aplicativo PT, incluyendo:</w:t>
      </w:r>
    </w:p>
    <w:p>
      <w:pPr>
        <w:pStyle w:val="Compact"/>
        <w:numPr>
          <w:ilvl w:val="0"/>
          <w:numId w:val="1001"/>
        </w:numPr>
      </w:pPr>
      <w:r>
        <w:t xml:space="preserve">Personalización del tema (colores, fuentes, temas Bootswatch).</w:t>
      </w:r>
    </w:p>
    <w:p>
      <w:pPr>
        <w:pStyle w:val="Compact"/>
        <w:numPr>
          <w:ilvl w:val="0"/>
          <w:numId w:val="1001"/>
        </w:numPr>
      </w:pPr>
      <w:r>
        <w:t xml:space="preserve">Controles de ancho del diseño (dinámicos y fijos).</w:t>
      </w:r>
    </w:p>
    <w:p>
      <w:pPr>
        <w:pStyle w:val="Compact"/>
        <w:numPr>
          <w:ilvl w:val="0"/>
          <w:numId w:val="1001"/>
        </w:numPr>
      </w:pPr>
      <w:r>
        <w:t xml:space="preserve">Adición de nuevos contaminantes y niveles de concentración.</w:t>
      </w:r>
    </w:p>
    <w:p>
      <w:pPr>
        <w:pStyle w:val="Compact"/>
        <w:numPr>
          <w:ilvl w:val="0"/>
          <w:numId w:val="1001"/>
        </w:numPr>
      </w:pPr>
      <w:r>
        <w:t xml:space="preserve">Extensión del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con nuevos métodos estadísticos y tipos de puntaje.</w:t>
      </w:r>
    </w:p>
    <w:p>
      <w:pPr>
        <w:pStyle w:val="Compact"/>
        <w:numPr>
          <w:ilvl w:val="0"/>
          <w:numId w:val="1001"/>
        </w:numPr>
      </w:pPr>
      <w:r>
        <w:t xml:space="preserve">Personalización de plantillas de informe y colores de visualización de puntajes.</w:t>
      </w:r>
    </w:p>
    <w:p>
      <w:pPr>
        <w:pStyle w:val="Compact"/>
        <w:numPr>
          <w:ilvl w:val="0"/>
          <w:numId w:val="1001"/>
        </w:numPr>
      </w:pPr>
      <w:r>
        <w:t xml:space="preserve">Internacionalización (personalización del texto de la interfaz de usuario).</w:t>
      </w:r>
    </w:p>
    <w:p>
      <w:r>
        <w:pict>
          <v:rect style="width:0;height:1.5pt" o:hralign="center" o:hrstd="t" o:hr="t"/>
        </w:pict>
      </w:r>
    </w:p>
    <w:bookmarkEnd w:id="9"/>
    <w:bookmarkStart w:id="10" w:name="ubicación-en-el-código"/>
    <w:p>
      <w:pPr>
        <w:pStyle w:val="Heading2"/>
      </w:pPr>
      <w:r>
        <w:t xml:space="preserve">Ubicación en el Código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Principal de la Aplicación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Definición del Tema</w:t>
            </w:r>
          </w:p>
        </w:tc>
        <w:tc>
          <w:tcPr/>
          <w:p>
            <w:pPr>
              <w:pStyle w:val="Compact"/>
            </w:pPr>
            <w:r>
              <w:t xml:space="preserve">Líneas 40-50 (aprox.)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Controles de Diseño</w:t>
            </w:r>
          </w:p>
        </w:tc>
        <w:tc>
          <w:tcPr/>
          <w:p>
            <w:pPr>
              <w:pStyle w:val="Compact"/>
            </w:pPr>
            <w:r>
              <w:t xml:space="preserve">Líneas 58-67 (aprox.)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Puntos de Extensión</w:t>
            </w:r>
          </w:p>
        </w:tc>
        <w:tc>
          <w:tcPr/>
          <w:p>
            <w:pPr>
              <w:pStyle w:val="Compact"/>
            </w:pPr>
            <w:r>
              <w:t xml:space="preserve">A lo largo de la función del servidor y del paquete</w:t>
            </w:r>
            <w:r>
              <w:t xml:space="preserve"> </w:t>
            </w:r>
            <w:r>
              <w:rPr>
                <w:rStyle w:val="VerbatimChar"/>
              </w:rPr>
              <w:t xml:space="preserve">ptcalc/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Plantillas de Informe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pt_app/inst/rmarkdown/templates/</w:t>
            </w:r>
            <w:r>
              <w:t xml:space="preserve"> </w:t>
            </w:r>
            <w:r>
              <w:t xml:space="preserve">o en línea en</w:t>
            </w:r>
            <w:r>
              <w:t xml:space="preserve"> </w:t>
            </w:r>
            <w:r>
              <w:rPr>
                <w:rStyle w:val="VerbatimChar"/>
              </w:rPr>
              <w:t xml:space="preserve">downloadHandler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7" w:name="personalización-del-tema-bslib"/>
    <w:p>
      <w:pPr>
        <w:pStyle w:val="Heading2"/>
      </w:pPr>
      <w:r>
        <w:t xml:space="preserve">Personalización del Tema (bslib)</w:t>
      </w:r>
    </w:p>
    <w:p>
      <w:pPr>
        <w:pStyle w:val="FirstParagraph"/>
      </w:pPr>
      <w:r>
        <w:t xml:space="preserve">La aplicación utiliza Bootstrap 5 a través del paquete</w:t>
      </w:r>
      <w:r>
        <w:t xml:space="preserve"> </w:t>
      </w:r>
      <w:r>
        <w:rPr>
          <w:rStyle w:val="VerbatimChar"/>
        </w:rPr>
        <w:t xml:space="preserve">bslib</w:t>
      </w:r>
      <w:r>
        <w:t xml:space="preserve">. El tema se define en la parte superior de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</w:t>
      </w:r>
    </w:p>
    <w:bookmarkStart w:id="11" w:name="configuración-actual-del-tema"/>
    <w:p>
      <w:pPr>
        <w:pStyle w:val="Heading3"/>
      </w:pPr>
      <w:r>
        <w:t xml:space="preserve">Configuración Actual del Tema</w:t>
      </w:r>
    </w:p>
    <w:p>
      <w:pPr>
        <w:pStyle w:val="SourceCode"/>
      </w:pPr>
      <w:r>
        <w:rPr>
          <w:rStyle w:val="NormalTok"/>
        </w:rPr>
        <w:t xml:space="preserve">theme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bs_theme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version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Fondo blanco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"#212529"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Texto frontal oscuro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"#FDB913"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Amarillo/Oro (Amarillo CALAIRE)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Gris oscuro secundario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"#4DB848"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Color verde para éxito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base_font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"Droid Sans"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code_font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"JetBrains Mono"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11"/>
    <w:bookmarkStart w:id="12" w:name="referencia-de-la-paleta-de-colores"/>
    <w:p>
      <w:pPr>
        <w:pStyle w:val="Heading3"/>
      </w:pPr>
      <w:r>
        <w:t xml:space="preserve">Referencia de la Paleta de Colores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Fondo de página</w:t>
            </w:r>
          </w:p>
        </w:tc>
        <w:tc>
          <w:tcPr/>
          <w:p>
            <w:pPr>
              <w:pStyle w:val="Compact"/>
            </w:pPr>
            <w:r>
              <w:t xml:space="preserve">Fondo principal de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#212529</w:t>
            </w:r>
          </w:p>
        </w:tc>
        <w:tc>
          <w:tcPr/>
          <w:p>
            <w:pPr>
              <w:pStyle w:val="Compact"/>
            </w:pPr>
            <w:r>
              <w:t xml:space="preserve">Color de texto</w:t>
            </w:r>
          </w:p>
        </w:tc>
        <w:tc>
          <w:tcPr/>
          <w:p>
            <w:pPr>
              <w:pStyle w:val="Compact"/>
            </w:pPr>
            <w:r>
              <w:t xml:space="preserve">Texto del cuerpo predeterminado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#FDB913</w:t>
            </w:r>
          </w:p>
        </w:tc>
        <w:tc>
          <w:tcPr/>
          <w:p>
            <w:pPr>
              <w:pStyle w:val="Compact"/>
            </w:pPr>
            <w:r>
              <w:t xml:space="preserve">Acento primario</w:t>
            </w:r>
          </w:p>
        </w:tc>
        <w:tc>
          <w:tcPr/>
          <w:p>
            <w:pPr>
              <w:pStyle w:val="Compact"/>
            </w:pPr>
            <w:r>
              <w:t xml:space="preserve">Botones, enlaces, elementos activos (Amarillo)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#333333</w:t>
            </w:r>
          </w:p>
        </w:tc>
        <w:tc>
          <w:tcPr/>
          <w:p>
            <w:pPr>
              <w:pStyle w:val="Compact"/>
            </w:pPr>
            <w:r>
              <w:t xml:space="preserve">Acento secundario</w:t>
            </w:r>
          </w:p>
        </w:tc>
        <w:tc>
          <w:tcPr/>
          <w:p>
            <w:pPr>
              <w:pStyle w:val="Compact"/>
            </w:pPr>
            <w:r>
              <w:t xml:space="preserve">Encabezados de navegación, elementos secundarios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#4DB848</w:t>
            </w:r>
          </w:p>
        </w:tc>
        <w:tc>
          <w:tcPr/>
          <w:p>
            <w:pPr>
              <w:pStyle w:val="Compact"/>
            </w:pPr>
            <w:r>
              <w:t xml:space="preserve">Color de éxito</w:t>
            </w:r>
          </w:p>
        </w:tc>
        <w:tc>
          <w:tcPr/>
          <w:p>
            <w:pPr>
              <w:pStyle w:val="Compact"/>
            </w:pPr>
            <w:r>
              <w:t xml:space="preserve">Indicadores positivos, estados válidos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#0dcaf0</w:t>
            </w:r>
          </w:p>
        </w:tc>
        <w:tc>
          <w:tcPr/>
          <w:p>
            <w:pPr>
              <w:pStyle w:val="Compact"/>
            </w:pPr>
            <w:r>
              <w:t xml:space="preserve">Color de info</w:t>
            </w:r>
          </w:p>
        </w:tc>
        <w:tc>
          <w:tcPr/>
          <w:p>
            <w:pPr>
              <w:pStyle w:val="Compact"/>
            </w:pPr>
            <w:r>
              <w:t xml:space="preserve">(Predet.) Alertas de 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#ffc107</w:t>
            </w:r>
          </w:p>
        </w:tc>
        <w:tc>
          <w:tcPr/>
          <w:p>
            <w:pPr>
              <w:pStyle w:val="Compact"/>
            </w:pPr>
            <w:r>
              <w:t xml:space="preserve">Color de advertencia</w:t>
            </w:r>
          </w:p>
        </w:tc>
        <w:tc>
          <w:tcPr/>
          <w:p>
            <w:pPr>
              <w:pStyle w:val="Compact"/>
            </w:pPr>
            <w:r>
              <w:t xml:space="preserve">(Predet.) Alertas de advertencia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#dc3545</w:t>
            </w:r>
          </w:p>
        </w:tc>
        <w:tc>
          <w:tcPr/>
          <w:p>
            <w:pPr>
              <w:pStyle w:val="Compact"/>
            </w:pPr>
            <w:r>
              <w:t xml:space="preserve">Color de error</w:t>
            </w:r>
          </w:p>
        </w:tc>
        <w:tc>
          <w:tcPr/>
          <w:p>
            <w:pPr>
              <w:pStyle w:val="Compact"/>
            </w:pPr>
            <w:r>
              <w:t xml:space="preserve">(Predet.) Mensajes de error</w:t>
            </w:r>
          </w:p>
        </w:tc>
      </w:tr>
    </w:tbl>
    <w:bookmarkEnd w:id="12"/>
    <w:bookmarkStart w:id="14" w:name="modificación-de-los-colores-del-tema"/>
    <w:p>
      <w:pPr>
        <w:pStyle w:val="Heading3"/>
      </w:pPr>
      <w:r>
        <w:t xml:space="preserve">Modificación de los Colores del Tema</w:t>
      </w:r>
    </w:p>
    <w:p>
      <w:pPr>
        <w:pStyle w:val="FirstParagraph"/>
      </w:pPr>
      <w:r>
        <w:t xml:space="preserve">Para cambiar el esquema de colores, modifique los valores hexadecimales en la llamada a</w:t>
      </w:r>
      <w:r>
        <w:t xml:space="preserve"> </w:t>
      </w:r>
      <w:r>
        <w:rPr>
          <w:rStyle w:val="VerbatimChar"/>
        </w:rPr>
        <w:t xml:space="preserve">bs_theme()</w:t>
      </w:r>
      <w:r>
        <w:t xml:space="preserve">.</w:t>
      </w:r>
    </w:p>
    <w:bookmarkStart w:id="13" w:name="ejemplo-tema-azul"/>
    <w:p>
      <w:pPr>
        <w:pStyle w:val="Heading4"/>
      </w:pPr>
      <w:r>
        <w:t xml:space="preserve">Ejemplo: Tema Azul</w:t>
      </w:r>
    </w:p>
    <w:p>
      <w:pPr>
        <w:pStyle w:val="SourceCode"/>
      </w:pPr>
      <w:r>
        <w:rPr>
          <w:rStyle w:val="NormalTok"/>
        </w:rPr>
        <w:t xml:space="preserve">theme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bs_theme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version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"#212529"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"#0d6efd"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Azul Bootstrap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"#6c757d"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Gris Bootstrap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"#198754"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Verde Bootstrap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base_font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"Roboto"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code_font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 Code Pro"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13"/>
    <w:bookmarkEnd w:id="14"/>
    <w:bookmarkStart w:id="15" w:name="temas-bootswatch"/>
    <w:p>
      <w:pPr>
        <w:pStyle w:val="Heading3"/>
      </w:pPr>
      <w:r>
        <w:t xml:space="preserve">Temas Bootswatch</w:t>
      </w:r>
    </w:p>
    <w:p>
      <w:pPr>
        <w:pStyle w:val="FirstParagraph"/>
      </w:pPr>
      <w:r>
        <w:t xml:space="preserve">Puede cambiar fácilmente a un tema Bootswatch predefinido.</w:t>
      </w:r>
    </w:p>
    <w:p>
      <w:pPr>
        <w:pStyle w:val="BodyText"/>
      </w:pPr>
      <w:r>
        <w:rPr>
          <w:b/>
          <w:bCs/>
        </w:rPr>
        <w:t xml:space="preserve">Opción 1: Selección en tiempo de ejecución</w:t>
      </w:r>
      <w:r>
        <w:t xml:space="preserve"> </w:t>
      </w:r>
      <w:r>
        <w:t xml:space="preserve">La aplicación incluye un widget selector de temas en el panel</w:t>
      </w:r>
      <w:r>
        <w:t xml:space="preserve"> </w:t>
      </w:r>
      <w:r>
        <w:t xml:space="preserve">“Opciones de diseño”</w:t>
      </w:r>
      <w:r>
        <w:t xml:space="preserve">. Marque</w:t>
      </w:r>
      <w:r>
        <w:t xml:space="preserve"> </w:t>
      </w:r>
      <w:r>
        <w:t xml:space="preserve">“Mostrar opciones de diseño”</w:t>
      </w:r>
      <w:r>
        <w:t xml:space="preserve"> </w:t>
      </w:r>
      <w:r>
        <w:t xml:space="preserve">para usar el widget</w:t>
      </w:r>
      <w:r>
        <w:t xml:space="preserve"> </w:t>
      </w:r>
      <w:r>
        <w:rPr>
          <w:rStyle w:val="VerbatimChar"/>
        </w:rPr>
        <w:t xml:space="preserve">themeSelector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Opción 2: Tema codificado (Hardcode)</w:t>
      </w:r>
    </w:p>
    <w:p>
      <w:pPr>
        <w:pStyle w:val="SourceCode"/>
      </w:pPr>
      <w:r>
        <w:rPr>
          <w:rStyle w:val="NormalTok"/>
        </w:rPr>
        <w:t xml:space="preserve">theme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bs_theme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version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bootswatch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"cerulean"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ej., "flatly", "cosmo", "yeti"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primary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"#FDB913"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Aún puede anular colores específicos</w:t>
      </w:r>
      <w:r>
        <w:br/>
      </w:r>
      <w:r>
        <w:rPr>
          <w:rStyle w:val="NormalTok"/>
        </w:rPr>
        <w:t xml:space="preserve">)</w:t>
      </w:r>
    </w:p>
    <w:bookmarkEnd w:id="15"/>
    <w:bookmarkStart w:id="16" w:name="cambio-de-fuentes"/>
    <w:p>
      <w:pPr>
        <w:pStyle w:val="Heading3"/>
      </w:pPr>
      <w:r>
        <w:t xml:space="preserve">Cambio de Fuentes</w:t>
      </w:r>
    </w:p>
    <w:p>
      <w:pPr>
        <w:pStyle w:val="FirstParagraph"/>
      </w:pPr>
      <w:r>
        <w:t xml:space="preserve">La aplicación utiliza Google Fonts. Alternativas populares: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Fuentes del cuerpo:</w:t>
      </w:r>
      <w:r>
        <w:t xml:space="preserve"> </w:t>
      </w:r>
      <w:r>
        <w:rPr>
          <w:rStyle w:val="VerbatimChar"/>
        </w:rPr>
        <w:t xml:space="preserve">"Open Sans"</w:t>
      </w:r>
      <w:r>
        <w:t xml:space="preserve">,</w:t>
      </w:r>
      <w:r>
        <w:t xml:space="preserve"> </w:t>
      </w:r>
      <w:r>
        <w:rPr>
          <w:rStyle w:val="VerbatimChar"/>
        </w:rPr>
        <w:t xml:space="preserve">"Roboto"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"Lato"</w:t>
      </w:r>
      <w:r>
        <w:t xml:space="preserve">,</w:t>
      </w:r>
      <w:r>
        <w:t xml:space="preserve"> </w:t>
      </w:r>
      <w:r>
        <w:rPr>
          <w:rStyle w:val="VerbatimChar"/>
        </w:rPr>
        <w:t xml:space="preserve">"Source Sans Pro"</w:t>
      </w:r>
      <w:r>
        <w:t xml:space="preserve">,</w:t>
      </w:r>
      <w:r>
        <w:t xml:space="preserve"> </w:t>
      </w:r>
      <w:r>
        <w:rPr>
          <w:rStyle w:val="VerbatimChar"/>
        </w:rPr>
        <w:t xml:space="preserve">"Inter"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Fuentes de código:</w:t>
      </w:r>
      <w:r>
        <w:t xml:space="preserve"> </w:t>
      </w:r>
      <w:r>
        <w:rPr>
          <w:rStyle w:val="VerbatimChar"/>
        </w:rPr>
        <w:t xml:space="preserve">"Fira Code"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"Source Code Pro"</w:t>
      </w:r>
      <w:r>
        <w:t xml:space="preserve">,</w:t>
      </w:r>
      <w:r>
        <w:t xml:space="preserve"> </w:t>
      </w:r>
      <w:r>
        <w:rPr>
          <w:rStyle w:val="VerbatimChar"/>
        </w:rPr>
        <w:t xml:space="preserve">"JetBrains Mono"</w:t>
      </w:r>
      <w:r>
        <w:t xml:space="preserve">,</w:t>
      </w:r>
      <w:r>
        <w:t xml:space="preserve"> </w:t>
      </w:r>
      <w:r>
        <w:rPr>
          <w:rStyle w:val="VerbatimChar"/>
        </w:rPr>
        <w:t xml:space="preserve">"IBM Plex Mono"</w:t>
      </w:r>
    </w:p>
    <w:p>
      <w:pPr>
        <w:pStyle w:val="SourceCode"/>
      </w:pPr>
      <w:r>
        <w:rPr>
          <w:rStyle w:val="NormalTok"/>
        </w:rPr>
        <w:t xml:space="preserve">base_font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code_font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font_google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"Fira Code"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9" w:name="personalización-con-variables-css"/>
    <w:p>
      <w:pPr>
        <w:pStyle w:val="Heading3"/>
      </w:pPr>
      <w:r>
        <w:t xml:space="preserve">Personalización con Variables CSS</w:t>
      </w:r>
    </w:p>
    <w:p>
      <w:pPr>
        <w:pStyle w:val="FirstParagraph"/>
      </w:pPr>
      <w:r>
        <w:t xml:space="preserve">El diseño moderno utiliza Propiedades Personalizadas CSS (variables) para un estilo consistente. Estas variables se definen en</w:t>
      </w:r>
      <w:r>
        <w:t xml:space="preserve"> </w:t>
      </w:r>
      <w:r>
        <w:rPr>
          <w:rStyle w:val="VerbatimChar"/>
        </w:rPr>
        <w:t xml:space="preserve">www/appR.css</w:t>
      </w:r>
      <w:r>
        <w:t xml:space="preserve">.</w:t>
      </w:r>
    </w:p>
    <w:bookmarkStart w:id="17" w:name="referencia-de-variables-css"/>
    <w:p>
      <w:pPr>
        <w:pStyle w:val="Heading4"/>
      </w:pPr>
      <w:r>
        <w:t xml:space="preserve">Referencia de Variables CSS</w:t>
      </w:r>
    </w:p>
    <w:p>
      <w:pPr>
        <w:pStyle w:val="FirstParagraph"/>
      </w:pPr>
      <w:r>
        <w:rPr>
          <w:b/>
          <w:bCs/>
        </w:rPr>
        <w:t xml:space="preserve">Paleta de Colores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Amarillo/oro UNAL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Fondo principal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#F5F6F7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Fondos de tarjetas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--pt-fg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Texto primario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--pt-fg-muted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Texto atenuado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--pt-satisfactory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#00B050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Puntajes verdes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--pt-questionable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Puntajes amarillos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--pt-unsatisfactory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Puntajes rojos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Espaciado y Diseño</w:t>
      </w:r>
    </w:p>
    <w:p>
      <w:pPr>
        <w:pStyle w:val="SourceCode"/>
      </w:pPr>
      <w:r>
        <w:rPr>
          <w:rStyle w:val="NormalTok"/>
        </w:rPr>
        <w:t xml:space="preserve">--space-xs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--space-sm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--space-md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1rem;</w:t>
      </w:r>
      <w:r>
        <w:br/>
      </w:r>
      <w:r>
        <w:rPr>
          <w:rStyle w:val="NormalTok"/>
        </w:rPr>
        <w:t xml:space="preserve">--space-lg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--space-xl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2rem;</w:t>
      </w:r>
      <w:r>
        <w:br/>
      </w:r>
      <w:r>
        <w:rPr>
          <w:rStyle w:val="NormalTok"/>
        </w:rPr>
        <w:t xml:space="preserve">--space-xxl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3rem;</w:t>
      </w:r>
      <w:r>
        <w:br/>
      </w:r>
      <w:r>
        <w:rPr>
          <w:rStyle w:val="NormalTok"/>
        </w:rPr>
        <w:t xml:space="preserve">--radius-sm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.75rem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1rem;</w:t>
      </w:r>
    </w:p>
    <w:bookmarkEnd w:id="17"/>
    <w:bookmarkStart w:id="18" w:name="anulación-de-variables-css"/>
    <w:p>
      <w:pPr>
        <w:pStyle w:val="Heading4"/>
      </w:pPr>
      <w:r>
        <w:t xml:space="preserve">Anulación de Variables CSS</w:t>
      </w:r>
    </w:p>
    <w:p>
      <w:pPr>
        <w:pStyle w:val="FirstParagraph"/>
      </w:pPr>
      <w:r>
        <w:rPr>
          <w:b/>
          <w:bCs/>
        </w:rPr>
        <w:t xml:space="preserve">Opción 1: Crear custom.css</w:t>
      </w:r>
      <w:r>
        <w:t xml:space="preserve"> </w:t>
      </w:r>
      <w:r>
        <w:t xml:space="preserve">1. Cree</w:t>
      </w:r>
      <w:r>
        <w:t xml:space="preserve"> </w:t>
      </w:r>
      <w:r>
        <w:rPr>
          <w:rStyle w:val="VerbatimChar"/>
        </w:rPr>
        <w:t xml:space="preserve">www/custom.css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SU_COLOR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SU_FONDO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EL_FONDO_DE_SU_TARJETA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Cárguelo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"appR.css"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"custom.css"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Después de appR.css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Opción 2: Añadir estilos personalizados en app.R</w:t>
      </w:r>
    </w:p>
    <w:p>
      <w:pPr>
        <w:pStyle w:val="SourceCode"/>
      </w:pPr>
      <w:r>
        <w:rPr>
          <w:rStyle w:val="NormalTok"/>
        </w:rPr>
        <w:t xml:space="preserve">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style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:root {</w:t>
      </w:r>
      <w:r>
        <w:br/>
      </w:r>
      <w:r>
        <w:rPr>
          <w:rStyle w:val="StringTok"/>
        </w:rPr>
        <w:t xml:space="preserve">      --pt-primary: #SU_COLOR;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3eb639bba0d3d05201d20d9ad564178bdb4b3c"/>
    <w:p>
      <w:pPr>
        <w:pStyle w:val="Heading3"/>
      </w:pPr>
      <w:r>
        <w:t xml:space="preserve">Personalización de Componentes Inspirados en shadcn</w:t>
      </w:r>
    </w:p>
    <w:p>
      <w:pPr>
        <w:pStyle w:val="FirstParagraph"/>
      </w:pPr>
      <w:r>
        <w:t xml:space="preserve">La aplicación utiliza componentes inspirados en shadcn para los elementos modernos de la interfaz de usuario.</w:t>
      </w:r>
    </w:p>
    <w:bookmarkStart w:id="20" w:name="tarjetas-.shadcn-card"/>
    <w:p>
      <w:pPr>
        <w:pStyle w:val="Heading4"/>
      </w:pPr>
      <w:r>
        <w:t xml:space="preserve">Tarjetas (.shadcn-card)</w:t>
      </w:r>
    </w:p>
    <w:p>
      <w:pPr>
        <w:pStyle w:val="SourceCode"/>
      </w:pPr>
      <w:r>
        <w:rPr>
          <w:rStyle w:val="FunctionTok"/>
        </w:rPr>
        <w:t xml:space="preserve">.shadcn-card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Ejemplo de Personalización:</w:t>
      </w:r>
    </w:p>
    <w:p>
      <w:pPr>
        <w:pStyle w:val="SourceCode"/>
      </w:pPr>
      <w:r>
        <w:rPr>
          <w:rStyle w:val="FunctionTok"/>
        </w:rPr>
        <w:t xml:space="preserve">.shadcn-card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SU_FONDO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SU_BORDE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alertas-.alert-modern"/>
    <w:p>
      <w:pPr>
        <w:pStyle w:val="Heading4"/>
      </w:pPr>
      <w:r>
        <w:t xml:space="preserve">Alertas (.alert-modern)</w:t>
      </w:r>
    </w:p>
    <w:p>
      <w:pPr>
        <w:pStyle w:val="SourceCode"/>
      </w:pPr>
      <w:r>
        <w:rPr>
          <w:rStyle w:val="FunctionTok"/>
        </w:rPr>
        <w:t xml:space="preserve">.alert-modern.alert-info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#e0f2fe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#0284c7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#0c4a6e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.alert-modern.alert-success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#14532d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.alert-modern.alert-warning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#fef9c3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#ca8a04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#713f12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.alert-modern.alert-error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#fee2e2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#7f1d1d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badges-.badge-modern"/>
    <w:p>
      <w:pPr>
        <w:pStyle w:val="Heading4"/>
      </w:pPr>
      <w:r>
        <w:t xml:space="preserve">Badges (.badge-modern)</w:t>
      </w:r>
    </w:p>
    <w:p>
      <w:pPr>
        <w:pStyle w:val="SourceCode"/>
      </w:pPr>
      <w:r>
        <w:rPr>
          <w:rStyle w:val="FunctionTok"/>
        </w:rPr>
        <w:t xml:space="preserve">.badge-modern.badge-satisfactory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--pt-satisfactory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.badge-modern.badge-questionable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--pt-questionable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.badge-modern.badge-unsatisfactory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--pt-unsatisfactory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c02c044cdefa071f596fb94ce1c32befd57da2"/>
    <w:p>
      <w:pPr>
        <w:pStyle w:val="Heading3"/>
      </w:pPr>
      <w:r>
        <w:t xml:space="preserve">Personalización de Encabezado/Pie de Página</w:t>
      </w:r>
    </w:p>
    <w:bookmarkStart w:id="24" w:name="encabezado-enhanced-header"/>
    <w:p>
      <w:pPr>
        <w:pStyle w:val="Heading4"/>
      </w:pPr>
      <w:r>
        <w:t xml:space="preserve">Encabezado (Enhanced Header)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www/appR.css</w:t>
      </w:r>
      <w:r>
        <w:t xml:space="preserve"> </w:t>
      </w:r>
      <w:r>
        <w:t xml:space="preserve">líneas 830-902</w:t>
      </w:r>
    </w:p>
    <w:p>
      <w:pPr>
        <w:pStyle w:val="BodyText"/>
      </w:pPr>
      <w:r>
        <w:rPr>
          <w:b/>
          <w:bCs/>
        </w:rPr>
        <w:t xml:space="preserve">Elementos Clave:</w:t>
      </w:r>
      <w:r>
        <w:t xml:space="preserve"> </w:t>
      </w:r>
      <w:r>
        <w:t xml:space="preserve">- Contenedor del logo con la marca UNAL (alineado a la izquierda)</w:t>
      </w:r>
      <w:r>
        <w:t xml:space="preserve"> </w:t>
      </w:r>
      <w:r>
        <w:t xml:space="preserve">- Texto de la imagen institucional</w:t>
      </w:r>
      <w:r>
        <w:t xml:space="preserve"> </w:t>
      </w:r>
      <w:r>
        <w:t xml:space="preserve">- Acentos de color primario</w:t>
      </w:r>
    </w:p>
    <w:p>
      <w:pPr>
        <w:pStyle w:val="BodyText"/>
      </w:pPr>
      <w:r>
        <w:rPr>
          <w:b/>
          <w:bCs/>
        </w:rPr>
        <w:t xml:space="preserve">Ejemplo de Personalización:</w:t>
      </w:r>
    </w:p>
    <w:p>
      <w:pPr>
        <w:pStyle w:val="SourceCode"/>
      </w:pPr>
      <w:r>
        <w:rPr>
          <w:rStyle w:val="FunctionTok"/>
        </w:rPr>
        <w:t xml:space="preserve">.pt-header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.pt-logo-container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SU_ALTURA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.pt-header-title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SU_TAMAÑO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ie-de-página-modern-footer"/>
    <w:p>
      <w:pPr>
        <w:pStyle w:val="Heading4"/>
      </w:pPr>
      <w:r>
        <w:t xml:space="preserve">Pie de Página (Modern Footer)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www/appR.css</w:t>
      </w:r>
      <w:r>
        <w:t xml:space="preserve"> </w:t>
      </w:r>
      <w:r>
        <w:t xml:space="preserve">líneas 1219-1280</w:t>
      </w:r>
    </w:p>
    <w:p>
      <w:pPr>
        <w:pStyle w:val="BodyText"/>
      </w:pPr>
      <w:r>
        <w:rPr>
          <w:b/>
          <w:bCs/>
        </w:rPr>
        <w:t xml:space="preserve">Elementos Clave:</w:t>
      </w:r>
      <w:r>
        <w:t xml:space="preserve"> </w:t>
      </w:r>
      <w:r>
        <w:t xml:space="preserve">- Diseño de tres columnas</w:t>
      </w:r>
      <w:r>
        <w:t xml:space="preserve"> </w:t>
      </w:r>
      <w:r>
        <w:t xml:space="preserve">- Información del proyecto</w:t>
      </w:r>
      <w:r>
        <w:t xml:space="preserve"> </w:t>
      </w:r>
      <w:r>
        <w:t xml:space="preserve">- Logos de instituciones</w:t>
      </w:r>
      <w:r>
        <w:t xml:space="preserve"> </w:t>
      </w:r>
      <w:r>
        <w:t xml:space="preserve">- Información de contacto</w:t>
      </w:r>
    </w:p>
    <w:p>
      <w:pPr>
        <w:pStyle w:val="BodyText"/>
      </w:pPr>
      <w:r>
        <w:rPr>
          <w:b/>
          <w:bCs/>
        </w:rPr>
        <w:t xml:space="preserve">Ejemplo de Personalización:</w:t>
      </w:r>
    </w:p>
    <w:p>
      <w:pPr>
        <w:pStyle w:val="SourceCode"/>
      </w:pPr>
      <w:r>
        <w:rPr>
          <w:rStyle w:val="FunctionTok"/>
        </w:rPr>
        <w:t xml:space="preserve">.pt-footer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.pt-footer-section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.pt-footer-title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controles-de-ancho-del-diseño"/>
    <w:p>
      <w:pPr>
        <w:pStyle w:val="Heading2"/>
      </w:pPr>
      <w:r>
        <w:t xml:space="preserve">Controles de Ancho del Diseño</w:t>
      </w:r>
    </w:p>
    <w:p>
      <w:pPr>
        <w:pStyle w:val="FirstParagraph"/>
      </w:pPr>
      <w:r>
        <w:t xml:space="preserve">La aplicación proporciona controles de diseño dinámicos a través de entradas numéricas o deslizantes (sliders) en la interfaz de usuario.</w:t>
      </w:r>
    </w:p>
    <w:bookmarkStart w:id="28" w:name="deslizadores-de-ancho-dinámicos"/>
    <w:p>
      <w:pPr>
        <w:pStyle w:val="Heading3"/>
      </w:pPr>
      <w:r>
        <w:t xml:space="preserve">Deslizadores de Ancho Dinámicos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1620"/>
        <w:gridCol w:w="126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ID de Entrada</w:t>
            </w:r>
          </w:p>
        </w:tc>
        <w:tc>
          <w:tcPr/>
          <w:p>
            <w:pPr>
              <w:pStyle w:val="Compact"/>
            </w:pPr>
            <w:r>
              <w:t xml:space="preserve">Predet.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de Navegación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nav_width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Ancho del panel de navegación (columnas Bootstrap)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de Análisis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analysis_sidebar_width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2-6</w:t>
            </w:r>
          </w:p>
        </w:tc>
        <w:tc>
          <w:tcPr/>
          <w:p>
            <w:pPr>
              <w:pStyle w:val="Compact"/>
            </w:pPr>
            <w:r>
              <w:t xml:space="preserve">Ancho del panel de parámetros de análisis</w:t>
            </w:r>
          </w:p>
        </w:tc>
      </w:tr>
    </w:tbl>
    <w:bookmarkEnd w:id="28"/>
    <w:bookmarkStart w:id="29" w:name="X1c02aa50fbbed1e0ae09e8f17f50da973a1fb83"/>
    <w:p>
      <w:pPr>
        <w:pStyle w:val="Heading3"/>
      </w:pPr>
      <w:r>
        <w:t xml:space="preserve">Referencia del Sistema de Rejilla de Bootstrap</w:t>
      </w:r>
    </w:p>
    <w:p>
      <w:pPr>
        <w:pStyle w:val="FirstParagraph"/>
      </w:pPr>
      <w:r>
        <w:t xml:space="preserve">El diseño utiliza una rejilla de 12 columnas. El ancho del contenido se calcula como</w:t>
      </w:r>
      <w:r>
        <w:t xml:space="preserve"> </w:t>
      </w:r>
      <w:r>
        <w:rPr>
          <w:rStyle w:val="VerbatimChar"/>
        </w:rPr>
        <w:t xml:space="preserve">12 - ancho_sidebar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</w:t>
            </w:r>
          </w:p>
        </w:tc>
        <w:tc>
          <w:tcPr/>
          <w:p>
            <w:pPr>
              <w:pStyle w:val="Compact"/>
            </w:pPr>
            <w:r>
              <w:t xml:space="preserve">Columna Bootstrap</w:t>
            </w:r>
          </w:p>
        </w:tc>
        <w:tc>
          <w:tcPr/>
          <w:p>
            <w:pPr>
              <w:pStyle w:val="Compact"/>
            </w:pPr>
            <w:r>
              <w:t xml:space="preserve">Ancho Visual (aprox.)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col-1</w:t>
            </w:r>
          </w:p>
        </w:tc>
        <w:tc>
          <w:tcPr/>
          <w:p>
            <w:pPr>
              <w:pStyle w:val="Compact"/>
            </w:pPr>
            <w:r>
              <w:t xml:space="preserve">8.33%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col-2</w:t>
            </w:r>
          </w:p>
        </w:tc>
        <w:tc>
          <w:tcPr/>
          <w:p>
            <w:pPr>
              <w:pStyle w:val="Compact"/>
            </w:pPr>
            <w:r>
              <w:t xml:space="preserve">16.67%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col-3</w:t>
            </w:r>
          </w:p>
        </w:tc>
        <w:tc>
          <w:tcPr/>
          <w:p>
            <w:pPr>
              <w:pStyle w:val="Compact"/>
            </w:pPr>
            <w:r>
              <w:t xml:space="preserve">25.00%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col-4</w:t>
            </w:r>
          </w:p>
        </w:tc>
        <w:tc>
          <w:tcPr/>
          <w:p>
            <w:pPr>
              <w:pStyle w:val="Compact"/>
            </w:pPr>
            <w:r>
              <w:t xml:space="preserve">33.33%</w:t>
            </w:r>
          </w:p>
        </w:tc>
      </w:tr>
    </w:tbl>
    <w:bookmarkEnd w:id="29"/>
    <w:bookmarkStart w:id="30" w:name="Xe99ed946669c9782b80b9b5105d320a83de3ea8"/>
    <w:p>
      <w:pPr>
        <w:pStyle w:val="Heading3"/>
      </w:pPr>
      <w:r>
        <w:t xml:space="preserve">Codificación de los Anchos de Diseño (Hardcoding)</w:t>
      </w:r>
    </w:p>
    <w:p>
      <w:pPr>
        <w:pStyle w:val="FirstParagraph"/>
      </w:pPr>
      <w:r>
        <w:t xml:space="preserve">Para establecer anchos fijos, elimine los elementos</w:t>
      </w:r>
      <w:r>
        <w:t xml:space="preserve"> </w:t>
      </w:r>
      <w:r>
        <w:rPr>
          <w:rStyle w:val="VerbatimChar"/>
        </w:rPr>
        <w:t xml:space="preserve">sliderInput</w:t>
      </w:r>
      <w:r>
        <w:t xml:space="preserve"> </w:t>
      </w:r>
      <w:r>
        <w:t xml:space="preserve">y utilice valores fijos:</w:t>
      </w:r>
    </w:p>
    <w:p>
      <w:pPr>
        <w:pStyle w:val="SourceCode"/>
      </w:pP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recomendaciones-de-diseño"/>
    <w:p>
      <w:pPr>
        <w:pStyle w:val="Heading3"/>
      </w:pPr>
      <w:r>
        <w:t xml:space="preserve">Recomendaciones de Diseño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Tamaño de Pantalla</w:t>
            </w:r>
          </w:p>
        </w:tc>
        <w:tc>
          <w:tcPr/>
          <w:p>
            <w:pPr>
              <w:pStyle w:val="Compact"/>
            </w:pPr>
            <w:r>
              <w:t xml:space="preserve">nav_width</w:t>
            </w:r>
          </w:p>
        </w:tc>
        <w:tc>
          <w:tcPr/>
          <w:p>
            <w:pPr>
              <w:pStyle w:val="Compact"/>
            </w:pPr>
            <w:r>
              <w:t xml:space="preserve">analysis_sidebar_width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Pequeño (laptop)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Mediano (desktop)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 (monitor ancho)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añadir-nuevos-contaminantes"/>
    <w:p>
      <w:pPr>
        <w:pStyle w:val="Heading2"/>
      </w:pPr>
      <w:r>
        <w:t xml:space="preserve">Añadir Nuevos Contaminantes</w:t>
      </w:r>
    </w:p>
    <w:p>
      <w:pPr>
        <w:pStyle w:val="FirstParagraph"/>
      </w:pPr>
      <w:r>
        <w:t xml:space="preserve">La aplicación detecta automáticamente los contaminantes a partir de los datos cargados. Por lo general,</w:t>
      </w:r>
      <w:r>
        <w:t xml:space="preserve"> </w:t>
      </w:r>
      <w:r>
        <w:rPr>
          <w:b/>
          <w:bCs/>
        </w:rPr>
        <w:t xml:space="preserve">no se requieren cambios en el código</w:t>
      </w:r>
      <w:r>
        <w:t xml:space="preserve">.</w:t>
      </w:r>
    </w:p>
    <w:bookmarkStart w:id="33" w:name="requisitos-de-datos"/>
    <w:p>
      <w:pPr>
        <w:pStyle w:val="Heading3"/>
      </w:pPr>
      <w:r>
        <w:t xml:space="preserve">Requisitos de Datos</w:t>
      </w:r>
    </w:p>
    <w:p>
      <w:pPr>
        <w:pStyle w:val="FirstParagraph"/>
      </w:pPr>
      <w:r>
        <w:t xml:space="preserve">Incluya el nuevo contaminante (ej.,</w:t>
      </w:r>
      <w:r>
        <w:t xml:space="preserve"> </w:t>
      </w:r>
      <w:r>
        <w:t xml:space="preserve">“PM2.5”</w:t>
      </w:r>
      <w:r>
        <w:t xml:space="preserve">) en sus archivos CSV (</w:t>
      </w:r>
      <w:r>
        <w:rPr>
          <w:rStyle w:val="VerbatimChar"/>
        </w:rPr>
        <w:t xml:space="preserve">homogeneity.csv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summary_*.csv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pollutant,level,replicate,value,participant_id</w:t>
      </w:r>
      <w:r>
        <w:br/>
      </w:r>
      <w:r>
        <w:rPr>
          <w:rStyle w:val="VerbatimChar"/>
        </w:rPr>
        <w:t xml:space="preserve">PM2.5,low,1,15.2,lab001</w:t>
      </w:r>
      <w:r>
        <w:br/>
      </w:r>
      <w:r>
        <w:rPr>
          <w:rStyle w:val="VerbatimChar"/>
        </w:rPr>
        <w:t xml:space="preserve">PM2.5,low,2,15.5,lab001</w:t>
      </w:r>
    </w:p>
    <w:bookmarkEnd w:id="33"/>
    <w:bookmarkStart w:id="34" w:name="detección-dinámica"/>
    <w:p>
      <w:pPr>
        <w:pStyle w:val="Heading3"/>
      </w:pPr>
      <w:r>
        <w:t xml:space="preserve">Detección Dinámica</w:t>
      </w:r>
    </w:p>
    <w:p>
      <w:pPr>
        <w:pStyle w:val="FirstParagraph"/>
      </w:pPr>
      <w:r>
        <w:t xml:space="preserve">La aplicación puebla los menús desplegables utilizando expresiones reactivas:</w:t>
      </w:r>
    </w:p>
    <w:p>
      <w:pPr>
        <w:pStyle w:val="SourceCode"/>
      </w:pPr>
      <w:r>
        <w:rPr>
          <w:rStyle w:val="NormalTok"/>
        </w:rPr>
        <w:t xml:space="preserve">pollutant_choices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pt_prep_data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pt_prep_data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pollutant)</w:t>
      </w:r>
      <w:r>
        <w:br/>
      </w:r>
      <w:r>
        <w:rPr>
          <w:rStyle w:val="NormalTok"/>
        </w:rPr>
        <w:t xml:space="preserve">})</w:t>
      </w:r>
    </w:p>
    <w:bookmarkEnd w:id="34"/>
    <w:bookmarkStart w:id="35" w:name="Xa8874d19698a76549edec38d56d1c2a19f75f05"/>
    <w:p>
      <w:pPr>
        <w:pStyle w:val="Heading3"/>
      </w:pPr>
      <w:r>
        <w:t xml:space="preserve">Configuración Específica de Contaminantes</w:t>
      </w:r>
    </w:p>
    <w:p>
      <w:pPr>
        <w:pStyle w:val="FirstParagraph"/>
      </w:pPr>
      <w:r>
        <w:t xml:space="preserve">Si necesita configuraciones específicas (como unidades), puede extender una tabla de configuración en la lógica del servidor:</w:t>
      </w:r>
    </w:p>
    <w:p>
      <w:pPr>
        <w:pStyle w:val="SourceCode"/>
      </w:pPr>
      <w:r>
        <w:rPr>
          <w:rStyle w:val="NormalTok"/>
        </w:rPr>
        <w:t xml:space="preserve">pollutant_config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pollutant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"PM2.5"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"ppb"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"µg/m³"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"µg/m³"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ñadir-nuevos-niveles-de-concentración"/>
    <w:p>
      <w:pPr>
        <w:pStyle w:val="Heading2"/>
      </w:pPr>
      <w:r>
        <w:t xml:space="preserve">Añadir Nuevos Niveles de Concentración</w:t>
      </w:r>
    </w:p>
    <w:p>
      <w:pPr>
        <w:pStyle w:val="FirstParagraph"/>
      </w:pPr>
      <w:r>
        <w:t xml:space="preserve">Los niveles de concentración también se detectan automáticamente a partir de los datos.</w:t>
      </w:r>
    </w:p>
    <w:bookmarkStart w:id="37" w:name="formato-de-datos"/>
    <w:p>
      <w:pPr>
        <w:pStyle w:val="Heading3"/>
      </w:pPr>
      <w:r>
        <w:t xml:space="preserve">Formato de Datos</w:t>
      </w:r>
    </w:p>
    <w:p>
      <w:pPr>
        <w:pStyle w:val="SourceCode"/>
      </w:pPr>
      <w:r>
        <w:rPr>
          <w:rStyle w:val="VerbatimChar"/>
        </w:rPr>
        <w:t xml:space="preserve">pollutant,level,replicate,value</w:t>
      </w:r>
      <w:r>
        <w:br/>
      </w:r>
      <w:r>
        <w:rPr>
          <w:rStyle w:val="VerbatimChar"/>
        </w:rPr>
        <w:t xml:space="preserve">SO2,muy_bajo,1,0.012</w:t>
      </w:r>
      <w:r>
        <w:br/>
      </w:r>
      <w:r>
        <w:rPr>
          <w:rStyle w:val="VerbatimChar"/>
        </w:rPr>
        <w:t xml:space="preserve">SO2,medio,1,0.156</w:t>
      </w:r>
    </w:p>
    <w:bookmarkEnd w:id="37"/>
    <w:bookmarkStart w:id="38" w:name="orden-de-los-niveles"/>
    <w:p>
      <w:pPr>
        <w:pStyle w:val="Heading3"/>
      </w:pPr>
      <w:r>
        <w:t xml:space="preserve">Orden de los Niveles</w:t>
      </w:r>
    </w:p>
    <w:p>
      <w:pPr>
        <w:pStyle w:val="FirstParagraph"/>
      </w:pPr>
      <w:r>
        <w:t xml:space="preserve">Los niveles se ordenan alfabéticamente. Para personalizar el orden, use un prefijo numérico (ej.,</w:t>
      </w:r>
      <w:r>
        <w:t xml:space="preserve"> </w:t>
      </w:r>
      <w:r>
        <w:rPr>
          <w:rStyle w:val="VerbatimChar"/>
        </w:rPr>
        <w:t xml:space="preserve">1_bajo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2_medio</w:t>
      </w:r>
      <w:r>
        <w:t xml:space="preserve">) o utilice factores en la preparación de los datos.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xtensión-del-paquete-ptcalc"/>
    <w:p>
      <w:pPr>
        <w:pStyle w:val="Heading2"/>
      </w:pPr>
      <w:r>
        <w:t xml:space="preserve">Extensión del Paquete ptcalc</w:t>
      </w:r>
    </w:p>
    <w:bookmarkStart w:id="40" w:name="estructura-del-paquete"/>
    <w:p>
      <w:pPr>
        <w:pStyle w:val="Heading3"/>
      </w:pPr>
      <w:r>
        <w:t xml:space="preserve">Estructura del Paquete</w:t>
      </w:r>
    </w:p>
    <w:p>
      <w:pPr>
        <w:pStyle w:val="SourceCode"/>
      </w:pPr>
      <w:r>
        <w:rPr>
          <w:rStyle w:val="VerbatimChar"/>
        </w:rPr>
        <w:t xml:space="preserve">ptcalc/</w:t>
      </w:r>
      <w:r>
        <w:br/>
      </w:r>
      <w:r>
        <w:rPr>
          <w:rStyle w:val="VerbatimChar"/>
        </w:rPr>
        <w:t xml:space="preserve">  DESCRIPTION</w:t>
      </w:r>
      <w:r>
        <w:br/>
      </w:r>
      <w:r>
        <w:rPr>
          <w:rStyle w:val="VerbatimChar"/>
        </w:rPr>
        <w:t xml:space="preserve">  NAMESPACE</w:t>
      </w:r>
      <w:r>
        <w:br/>
      </w:r>
      <w:r>
        <w:rPr>
          <w:rStyle w:val="VerbatimChar"/>
        </w:rPr>
        <w:t xml:space="preserve">  R/</w:t>
      </w:r>
      <w:r>
        <w:br/>
      </w:r>
      <w:r>
        <w:rPr>
          <w:rStyle w:val="VerbatimChar"/>
        </w:rPr>
        <w:t xml:space="preserve">    pt_robust_stats.R    # Estadísticas robustas (Algoritmo A, MADe, nIQR)</w:t>
      </w:r>
      <w:r>
        <w:br/>
      </w:r>
      <w:r>
        <w:rPr>
          <w:rStyle w:val="VerbatimChar"/>
        </w:rPr>
        <w:t xml:space="preserve">    pt_homogeneity.R     # Pruebas de homogeneidad y estabilidad</w:t>
      </w:r>
      <w:r>
        <w:br/>
      </w:r>
      <w:r>
        <w:rPr>
          <w:rStyle w:val="VerbatimChar"/>
        </w:rPr>
        <w:t xml:space="preserve">    pt_scores.R          # Puntuación (z, z', zeta, En)</w:t>
      </w:r>
    </w:p>
    <w:bookmarkEnd w:id="40"/>
    <w:bookmarkStart w:id="41" w:name="añadir-un-nuevo-método-estadístico"/>
    <w:p>
      <w:pPr>
        <w:pStyle w:val="Heading3"/>
      </w:pPr>
      <w:r>
        <w:t xml:space="preserve">Añadir un Nuevo Método Estadístico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Cree o modifique un archivo 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ptcalc/R/</w:t>
      </w:r>
      <w:r>
        <w:t xml:space="preserve"> </w:t>
      </w:r>
      <w:r>
        <w:t xml:space="preserve">(ej.,</w:t>
      </w:r>
      <w:r>
        <w:t xml:space="preserve"> </w:t>
      </w:r>
      <w:r>
        <w:rPr>
          <w:rStyle w:val="VerbatimChar"/>
        </w:rPr>
        <w:t xml:space="preserve">new_method.R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#' Calcular Estimador Hampel</w:t>
      </w:r>
      <w:r>
        <w:br/>
      </w:r>
      <w:r>
        <w:rPr>
          <w:rStyle w:val="CommentTok"/>
        </w:rPr>
        <w:t xml:space="preserve">#' @param x Vector numérico</w:t>
      </w:r>
      <w:r>
        <w:br/>
      </w:r>
      <w:r>
        <w:rPr>
          <w:rStyle w:val="CommentTok"/>
        </w:rPr>
        <w:t xml:space="preserve">#' @export</w:t>
      </w:r>
      <w:r>
        <w:br/>
      </w:r>
      <w:r>
        <w:rPr>
          <w:rStyle w:val="NormalTok"/>
        </w:rPr>
        <w:t xml:space="preserve">calculate_hampel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Implementación</w:t>
      </w:r>
      <w:r>
        <w:br/>
      </w:r>
      <w:r>
        <w:rPr>
          <w:rStyle w:val="NormalTok"/>
        </w:rPr>
        <w:t xml:space="preserve">  median_val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1.4826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median_val),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Actualice la Documentación e Instale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devtools::document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devtools::install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KeywordTok"/>
        </w:rPr>
        <w:t xml:space="preserve">)</w:t>
      </w:r>
    </w:p>
    <w:bookmarkEnd w:id="41"/>
    <w:bookmarkStart w:id="42" w:name="añadir-un-nuevo-tipo-de-puntaje"/>
    <w:p>
      <w:pPr>
        <w:pStyle w:val="Heading3"/>
      </w:pPr>
      <w:r>
        <w:t xml:space="preserve">Añadir un Nuevo Tipo de Puntaje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ptcalc/R/pt_scores.R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#' @export</w:t>
      </w:r>
      <w:r>
        <w:br/>
      </w:r>
      <w:r>
        <w:rPr>
          <w:rStyle w:val="NormalTok"/>
        </w:rPr>
        <w:t xml:space="preserve">calculate_q_score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x_pt, sigma) {</w:t>
      </w:r>
      <w:r>
        <w:br/>
      </w:r>
      <w:r>
        <w:rPr>
          <w:rStyle w:val="NormalTok"/>
        </w:rPr>
        <w:t xml:space="preserve"> 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x_pt)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app.R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Actualice</w:t>
      </w:r>
      <w:r>
        <w:t xml:space="preserve"> </w:t>
      </w:r>
      <w:r>
        <w:rPr>
          <w:rStyle w:val="VerbatimChar"/>
        </w:rPr>
        <w:t xml:space="preserve">selectInput("score_method", ...)</w:t>
      </w:r>
      <w:r>
        <w:t xml:space="preserve"> </w:t>
      </w:r>
      <w:r>
        <w:t xml:space="preserve">en la UI.</w:t>
      </w:r>
    </w:p>
    <w:p>
      <w:pPr>
        <w:pStyle w:val="Compact"/>
        <w:numPr>
          <w:ilvl w:val="0"/>
          <w:numId w:val="1007"/>
        </w:numPr>
      </w:pPr>
      <w:r>
        <w:t xml:space="preserve">Actualice la lógica de computación del puntaje en el servidor (ej., bloques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if</w:t>
      </w:r>
      <w:r>
        <w:t xml:space="preserve">).</w:t>
      </w:r>
    </w:p>
    <w:bookmarkEnd w:id="42"/>
    <w:bookmarkStart w:id="43" w:name="flujo-de-trabajo-de-desarrollo"/>
    <w:p>
      <w:pPr>
        <w:pStyle w:val="Heading3"/>
      </w:pPr>
      <w:r>
        <w:t xml:space="preserve">Flujo de Trabajo de Desarrollo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document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Reconstruir documentos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Recarga rápida para pruebas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Ejecutar pruebas unitarias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Instalar para uso de la aplicación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ersonalización-de-plantillas-de-informe"/>
    <w:p>
      <w:pPr>
        <w:pStyle w:val="Heading2"/>
      </w:pPr>
      <w:r>
        <w:t xml:space="preserve">Personalización de Plantillas de Informe</w:t>
      </w:r>
    </w:p>
    <w:p>
      <w:pPr>
        <w:pStyle w:val="FirstParagraph"/>
      </w:pPr>
      <w:r>
        <w:t xml:space="preserve">La generación de informes utiliza plantillas de RMarkdown.</w:t>
      </w:r>
    </w:p>
    <w:bookmarkStart w:id="45" w:name="ubicación-de-la-plantilla"/>
    <w:p>
      <w:pPr>
        <w:pStyle w:val="Heading3"/>
      </w:pPr>
      <w:r>
        <w:t xml:space="preserve">Ubicación de la Plantilla</w:t>
      </w:r>
    </w:p>
    <w:p>
      <w:pPr>
        <w:pStyle w:val="FirstParagraph"/>
      </w:pPr>
      <w:r>
        <w:t xml:space="preserve">Las plantillas se encuentran típicamente en</w:t>
      </w:r>
      <w:r>
        <w:t xml:space="preserve"> </w:t>
      </w:r>
      <w:r>
        <w:rPr>
          <w:rStyle w:val="VerbatimChar"/>
        </w:rPr>
        <w:t xml:space="preserve">pt_app/inst/rmarkdown/templates/pt_report/template.Rmd</w:t>
      </w:r>
      <w:r>
        <w:t xml:space="preserve">. Algunas versiones pueden usar definiciones en línea en</w:t>
      </w:r>
      <w:r>
        <w:t xml:space="preserve"> </w:t>
      </w:r>
      <w:r>
        <w:rPr>
          <w:rStyle w:val="VerbatimChar"/>
        </w:rPr>
        <w:t xml:space="preserve">downloadHandler</w:t>
      </w:r>
      <w:r>
        <w:t xml:space="preserve">.</w:t>
      </w:r>
    </w:p>
    <w:bookmarkEnd w:id="45"/>
    <w:bookmarkStart w:id="46" w:name="modificación-de-la-plantilla"/>
    <w:p>
      <w:pPr>
        <w:pStyle w:val="Heading3"/>
      </w:pPr>
      <w:r>
        <w:t xml:space="preserve">Modificación de la Plantilla</w:t>
      </w:r>
    </w:p>
    <w:p>
      <w:pPr>
        <w:pStyle w:val="FirstParagraph"/>
      </w:pPr>
      <w:r>
        <w:t xml:space="preserve">Puede editar</w:t>
      </w:r>
      <w:r>
        <w:t xml:space="preserve"> </w:t>
      </w:r>
      <w:r>
        <w:rPr>
          <w:rStyle w:val="VerbatimChar"/>
        </w:rPr>
        <w:t xml:space="preserve">template.Rmd</w:t>
      </w:r>
      <w:r>
        <w:t xml:space="preserve"> </w:t>
      </w:r>
      <w:r>
        <w:t xml:space="preserve">para cambiar el diseño, añadir logos o modificar la lógica del resumen ejecutivo.</w:t>
      </w:r>
    </w:p>
    <w:p>
      <w:pPr>
        <w:pStyle w:val="BodyText"/>
      </w:pPr>
      <w:r>
        <w:rPr>
          <w:b/>
          <w:bCs/>
        </w:rPr>
        <w:t xml:space="preserve">Ejemplo de Encabezado YAML: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"Informe de Ensayo de Aptitud"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word_document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reference_docx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"styles.docx"</w:t>
      </w:r>
      <w:r>
        <w:rPr>
          <w:rStyle w:val="CommentTok"/>
        </w:rPr>
        <w:t xml:space="preserve">  # Usar para estilo personalizado de Word</w:t>
      </w:r>
      <w:r>
        <w:br/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PreprocessorTok"/>
        </w:rPr>
        <w:t xml:space="preserve">---</w:t>
      </w:r>
    </w:p>
    <w:bookmarkEnd w:id="46"/>
    <w:bookmarkStart w:id="47" w:name="personalizaciones-comunes"/>
    <w:p>
      <w:pPr>
        <w:pStyle w:val="Heading3"/>
      </w:pPr>
      <w:r>
        <w:t xml:space="preserve">Personalizaciones Comunes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Logo:</w:t>
      </w:r>
      <w:r>
        <w:t xml:space="preserve"> </w:t>
      </w:r>
      <w:r>
        <w:t xml:space="preserve">Añada la ruta del logo a la plantilla o a</w:t>
      </w:r>
      <w:r>
        <w:t xml:space="preserve"> </w:t>
      </w:r>
      <w:r>
        <w:rPr>
          <w:rStyle w:val="VerbatimChar"/>
        </w:rPr>
        <w:t xml:space="preserve">inst/resources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Estilos:</w:t>
      </w:r>
      <w:r>
        <w:t xml:space="preserve"> </w:t>
      </w:r>
      <w:r>
        <w:t xml:space="preserve">Modifique</w:t>
      </w:r>
      <w:r>
        <w:t xml:space="preserve"> </w:t>
      </w:r>
      <w:r>
        <w:rPr>
          <w:rStyle w:val="VerbatimChar"/>
        </w:rPr>
        <w:t xml:space="preserve">styles.docx</w:t>
      </w:r>
      <w:r>
        <w:t xml:space="preserve"> </w:t>
      </w:r>
      <w:r>
        <w:t xml:space="preserve">para establecer las fuentes predeterminadas y los estilos de tabla para las exportaciones a Word.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0ee24981d6b239c7ac45a22cb0e55e9955f4ba0"/>
    <w:p>
      <w:pPr>
        <w:pStyle w:val="Heading2"/>
      </w:pPr>
      <w:r>
        <w:t xml:space="preserve">Personalización del Texto de la UI (Internacionalización)</w:t>
      </w:r>
    </w:p>
    <w:p>
      <w:pPr>
        <w:pStyle w:val="FirstParagraph"/>
      </w:pPr>
      <w:r>
        <w:t xml:space="preserve">La aplicación está en español por defecto.</w:t>
      </w:r>
    </w:p>
    <w:bookmarkStart w:id="49" w:name="enfoque-1-modificación-directa"/>
    <w:p>
      <w:pPr>
        <w:pStyle w:val="Heading3"/>
      </w:pPr>
      <w:r>
        <w:t xml:space="preserve">Enfoque 1: Modificación Directa</w:t>
      </w:r>
    </w:p>
    <w:p>
      <w:pPr>
        <w:pStyle w:val="FirstParagraph"/>
      </w:pPr>
      <w:r>
        <w:t xml:space="preserve">Busque y reemplace cadenas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actionButton("run", "Ejecutar")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actionButton("run", "Run")</w:t>
      </w:r>
    </w:p>
    <w:bookmarkEnd w:id="49"/>
    <w:bookmarkStart w:id="50" w:name="enfoque-2-externalizar-cadenas"/>
    <w:p>
      <w:pPr>
        <w:pStyle w:val="Heading3"/>
      </w:pPr>
      <w:r>
        <w:t xml:space="preserve">Enfoque 2: Externalizar Cadenas</w:t>
      </w:r>
    </w:p>
    <w:p>
      <w:pPr>
        <w:pStyle w:val="FirstParagraph"/>
      </w:pPr>
      <w:r>
        <w:t xml:space="preserve">Cree un diccionario de traducción:</w:t>
      </w:r>
    </w:p>
    <w:p>
      <w:pPr>
        <w:pStyle w:val="SourceCode"/>
      </w:pPr>
      <w:r>
        <w:rPr>
          <w:rStyle w:val="NormalTok"/>
        </w:rPr>
        <w:t xml:space="preserve">translations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calculate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calculate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Usar en UI/Server: translations[[input$language]]$calculate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ver-también"/>
    <w:p>
      <w:pPr>
        <w:pStyle w:val="Heading2"/>
      </w:pPr>
      <w:r>
        <w:t xml:space="preserve">Ver También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15_arquitectura.md</w:t>
      </w:r>
      <w:r>
        <w:t xml:space="preserve">: Arquitectura del sistema y patrones reactivos.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02a_api_ptcalc.md</w:t>
      </w:r>
      <w:r>
        <w:t xml:space="preserve">: Referencia detallada de las funciones de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01a_formatos_datos.md</w:t>
      </w:r>
      <w:r>
        <w:t xml:space="preserve">: Detalles del esquema CSV para contaminantes y niveles.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12_generacion_informes.md</w:t>
      </w:r>
      <w:r>
        <w:t xml:space="preserve">: Flujo de trabajo de generación de informes.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2026-01-29T03:50:36Z</dcterms:created>
  <dcterms:modified xsi:type="dcterms:W3CDTF">2026-01-29T03:50:36Z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