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0c08ae3310abe92cbe76f7aed847d7925d696d2"/>
    <w:p>
      <w:pPr>
        <w:pStyle w:val="Heading1"/>
      </w:pPr>
      <w:r>
        <w:t xml:space="preserve">Aplicativo de Ensayos de Aptitud para Gases Contaminantes Criterio</w:t>
      </w:r>
    </w:p>
    <w:p>
      <w:pPr>
        <w:pStyle w:val="FirstParagraph"/>
      </w:pPr>
      <w:r>
        <w:t xml:space="preserve">Esta aplicación Shiny proporciona un conjunto completo de herramientas para analizar datos de esquemas de ensayos de aptitud (PT). Implementa los métodos estadísticos descritos en las normas ISO 13528:2022 e ISO 17043:2024 para evaluar la homogeneidad y estabilidad de los ítems de PT y para calcular los puntajes de desempeño de los participantes.</w:t>
      </w:r>
    </w:p>
    <w:p>
      <w:pPr>
        <w:pStyle w:val="BodyText"/>
      </w:pPr>
      <w:r>
        <w:t xml:space="preserve">La aplicación está refactorizada para implementar una</w:t>
      </w:r>
      <w:r>
        <w:t xml:space="preserve"> </w:t>
      </w:r>
      <w:r>
        <w:rPr>
          <w:b/>
          <w:bCs/>
        </w:rPr>
        <w:t xml:space="preserve">separación de responsabilidades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ptcalc/</w:t>
      </w:r>
      <w:r>
        <w:t xml:space="preserve">: Paquete de R con funciones matemáticas puras (ISO 13528).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app.R</w:t>
      </w:r>
      <w:r>
        <w:t xml:space="preserve">: Lógica reactiva de Shiny para la interfaz de usuario.</w:t>
      </w:r>
    </w:p>
    <w:p>
      <w:pPr>
        <w:pStyle w:val="BodyText"/>
      </w:pPr>
      <w:r>
        <w:t xml:space="preserve">Captura de pantalla de la aplicación</w:t>
      </w:r>
      <w:r>
        <w:t xml:space="preserve"> </w:t>
      </w:r>
      <w:r>
        <w:rPr>
          <w:i/>
          <w:iCs/>
        </w:rPr>
        <w:t xml:space="preserve">Figura 1: Vista general del tablero del Aplicativo de Análisis de Datos de PT</w:t>
      </w:r>
    </w:p>
    <w:p>
      <w:pPr>
        <w:pStyle w:val="BlockText"/>
      </w:pPr>
      <w:r>
        <w:rPr>
          <w:b/>
          <w:bCs/>
        </w:rPr>
        <w:t xml:space="preserve">Actualización de Captura de Pantalla Requerida</w:t>
      </w:r>
      <w:r>
        <w:t xml:space="preserve">: Los siguientes elementos de la interfaz de usuario han sido rediseñados y</w:t>
      </w:r>
      <w:r>
        <w:t xml:space="preserve"> </w:t>
      </w:r>
      <w:r>
        <w:t xml:space="preserve">las capturas de pantalla deben mostrar:</w:t>
      </w:r>
      <w:r>
        <w:t xml:space="preserve"> </w:t>
      </w:r>
      <w:r>
        <w:t xml:space="preserve">- Encabezado mejorado con el logo de la UNAL (alineado a la izquierda) e imagen institucional</w:t>
      </w:r>
      <w:r>
        <w:t xml:space="preserve"> </w:t>
      </w:r>
      <w:r>
        <w:t xml:space="preserve">- Tarjetas de carga inspiradas en shadcn con estilo moderno de entrada de archivos</w:t>
      </w:r>
      <w:r>
        <w:t xml:space="preserve"> </w:t>
      </w:r>
      <w:r>
        <w:t xml:space="preserve">- Pie de página de tres columnas con información del proyecto, instituciones y secciones de contacto</w:t>
      </w:r>
      <w:r>
        <w:t xml:space="preserve"> </w:t>
      </w:r>
      <w:r>
        <w:t xml:space="preserve">- Esquema de colores moderno (Primario: #FDB913 amarillo/oro con fondos grises)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[Logo] Aplicativo para Evaluación de Ensayos de Aptitud       │</w:t>
      </w:r>
      <w:r>
        <w:br/>
      </w:r>
      <w:r>
        <w:rPr>
          <w:rStyle w:val="VerbatimChar"/>
        </w:rPr>
        <w:t xml:space="preserve">│         Gases Contaminantes Criterio                           │</w:t>
      </w:r>
      <w:r>
        <w:br/>
      </w:r>
      <w:r>
        <w:rPr>
          <w:rStyle w:val="VerbatimChar"/>
        </w:rPr>
        <w:t xml:space="preserve">│         Laboratorio Calaire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[☰ Carga de Datos] [Homogeneidad] [Estabilidad] [Valor Asig.] │</w:t>
      </w:r>
      <w:r>
        <w:br/>
      </w:r>
      <w:r>
        <w:rPr>
          <w:rStyle w:val="VerbatimChar"/>
        </w:rPr>
        <w:t xml:space="preserve">│  [Puntajes PT] [Informe Global] [Participantes] [Informes]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Sidebar                      │  Main Content Area              │</w:t>
      </w:r>
      <w:r>
        <w:br/>
      </w:r>
      <w:r>
        <w:rPr>
          <w:rStyle w:val="VerbatimChar"/>
        </w:rPr>
        <w:t xml:space="preserve">│  ├── tarjetas estilo shadcn    │  ├── DataTables mejoradas       │</w:t>
      </w:r>
      <w:r>
        <w:br/>
      </w:r>
      <w:r>
        <w:rPr>
          <w:rStyle w:val="VerbatimChar"/>
        </w:rPr>
        <w:t xml:space="preserve">│  ├── Zonas de carga de arch.   │  ├── Gráficos interactivos      │</w:t>
      </w:r>
      <w:r>
        <w:br/>
      </w:r>
      <w:r>
        <w:rPr>
          <w:rStyle w:val="VerbatimChar"/>
        </w:rPr>
        <w:t xml:space="preserve">│  └── Controles de form. mod.   │  └── alertas/badges shadcn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Pie: © 2026 INM / Laboratorio CALAIRE - Licencia MIT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Start w:id="10" w:name="inicio-rápido"/>
    <w:p>
      <w:pPr>
        <w:pStyle w:val="Heading2"/>
      </w:pPr>
      <w:r>
        <w:t xml:space="preserve">Inicio Rápido</w:t>
      </w:r>
    </w:p>
    <w:p>
      <w:pPr>
        <w:pStyle w:val="SourceCode"/>
      </w:pPr>
      <w:r>
        <w:rPr>
          <w:rStyle w:val="CommentTok"/>
        </w:rPr>
        <w:t xml:space="preserve"># 1. Establecer el directorio de trabajo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"/ruta/a/pt_app"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Iniciar la aplicación</w:t>
      </w:r>
      <w:r>
        <w:br/>
      </w:r>
      <w:r>
        <w:rPr>
          <w:rStyle w:val="NormalTok"/>
        </w:rPr>
        <w:t xml:space="preserve">shiny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runApp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"app.R"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La aplicación se abrirá en</w:t>
      </w:r>
      <w:r>
        <w:t xml:space="preserve"> </w:t>
      </w:r>
      <w:r>
        <w:rPr>
          <w:rStyle w:val="VerbatimChar"/>
        </w:rPr>
        <w:t xml:space="preserve">http://127.0.0.1:3838</w:t>
      </w:r>
      <w:r>
        <w:t xml:space="preserve"> </w:t>
      </w:r>
      <w:r>
        <w:t xml:space="preserve">en su navegador predeterminado. Para un recorrido completo de 5 minutos, consulte</w:t>
      </w:r>
      <w:r>
        <w:t xml:space="preserve"> </w:t>
      </w:r>
      <w:hyperlink r:id="rId9">
        <w:r>
          <w:rPr>
            <w:rStyle w:val="Hyperlink"/>
          </w:rPr>
          <w:t xml:space="preserve">00_inicio_rapido.md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5" w:name="instalación-y-prerrequisitos"/>
    <w:p>
      <w:pPr>
        <w:pStyle w:val="Heading2"/>
      </w:pPr>
      <w:r>
        <w:t xml:space="preserve">Instalación y Prerrequisitos</w:t>
      </w:r>
    </w:p>
    <w:bookmarkStart w:id="12" w:name="entorno-de-r"/>
    <w:p>
      <w:pPr>
        <w:pStyle w:val="Heading3"/>
      </w:pPr>
      <w:r>
        <w:t xml:space="preserve">Entorno de 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50"/>
        <w:gridCol w:w="2457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≥ 4.3.0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Descargar de CRAN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RStudio</w:t>
            </w:r>
          </w:p>
        </w:tc>
        <w:tc>
          <w:tcPr/>
          <w:p>
            <w:pPr>
              <w:pStyle w:val="Compact"/>
            </w:pPr>
            <w:r>
              <w:t xml:space="preserve">≥ 2023.06</w:t>
            </w:r>
          </w:p>
        </w:tc>
        <w:tc>
          <w:tcPr/>
          <w:p>
            <w:pPr>
              <w:pStyle w:val="Compact"/>
            </w:pPr>
            <w:r>
              <w:t xml:space="preserve">Opcional pero recomendado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Operativo</w:t>
            </w:r>
          </w:p>
        </w:tc>
        <w:tc>
          <w:tcPr/>
          <w:p>
            <w:pPr>
              <w:pStyle w:val="Compact"/>
            </w:pPr>
            <w:r>
              <w:t xml:space="preserve">Windows 10+, macOS 11+, o Linux</w:t>
            </w:r>
          </w:p>
        </w:tc>
        <w:tc>
          <w:tcPr/>
          <w:p>
            <w:pPr>
              <w:pStyle w:val="Compact"/>
            </w:pPr>
            <w:r>
              <w:t xml:space="preserve">Cualquier SO moderno</w:t>
            </w:r>
          </w:p>
        </w:tc>
      </w:tr>
    </w:tbl>
    <w:bookmarkEnd w:id="12"/>
    <w:bookmarkStart w:id="13" w:name="paquetes-de-r-requeridos"/>
    <w:p>
      <w:pPr>
        <w:pStyle w:val="Heading3"/>
      </w:pPr>
      <w:r>
        <w:t xml:space="preserve">Paquetes de R Requeridos</w:t>
      </w:r>
    </w:p>
    <w:p>
      <w:pPr>
        <w:pStyle w:val="SourceCode"/>
      </w:pPr>
      <w:r>
        <w:rPr>
          <w:rStyle w:val="CommentTok"/>
        </w:rPr>
        <w:t xml:space="preserve"># Instalar todas las dependencias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"shiny"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"bslib"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"vroom"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"rhandsontable"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"plotly"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"patchwork"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"outliers"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"rmarkdown"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"devtools"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"shinythemes"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"bsplus"</w:t>
      </w:r>
      <w:r>
        <w:br/>
      </w:r>
      <w:r>
        <w:rPr>
          <w:rStyle w:val="NormalTok"/>
        </w:rPr>
        <w:t xml:space="preserve">))</w:t>
      </w:r>
    </w:p>
    <w:bookmarkEnd w:id="13"/>
    <w:bookmarkStart w:id="14" w:name="instalación-del-paquete-ptcalc"/>
    <w:p>
      <w:pPr>
        <w:pStyle w:val="Heading3"/>
      </w:pPr>
      <w:r>
        <w:t xml:space="preserve">Instalación del Paquete ptcalc</w:t>
      </w:r>
    </w:p>
    <w:p>
      <w:pPr>
        <w:pStyle w:val="FirstParagraph"/>
      </w:pPr>
      <w:r>
        <w:t xml:space="preserve">El paquete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 </w:t>
      </w:r>
      <w:r>
        <w:t xml:space="preserve">contiene todas las funciones de cálculo de las normas ISO 13528/17043.</w:t>
      </w:r>
    </w:p>
    <w:p>
      <w:pPr>
        <w:pStyle w:val="BodyText"/>
      </w:pPr>
      <w:r>
        <w:rPr>
          <w:b/>
          <w:bCs/>
        </w:rPr>
        <w:t xml:space="preserve">Para desarrollo: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load_all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"ptcalc"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Para despliegue en producción: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"ptcalc"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(ptcalc)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arquitectura-del-sistema"/>
    <w:p>
      <w:pPr>
        <w:pStyle w:val="Heading2"/>
      </w:pPr>
      <w:r>
        <w:t xml:space="preserve">Arquitectura del Sistema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ptcalc["📦 Paquete ptcalc"]</w:t>
      </w:r>
      <w:r>
        <w:br/>
      </w:r>
      <w:r>
        <w:rPr>
          <w:rStyle w:val="VerbatimChar"/>
        </w:rPr>
        <w:t xml:space="preserve">        ROBUST["pt_robust_stats.R&lt;br/&gt;Algoritmo A, nIQR, MADe"]</w:t>
      </w:r>
      <w:r>
        <w:br/>
      </w:r>
      <w:r>
        <w:rPr>
          <w:rStyle w:val="VerbatimChar"/>
        </w:rPr>
        <w:t xml:space="preserve">        HOM["pt_homogeneity.R&lt;br/&gt;ANOVA, criterios"]</w:t>
      </w:r>
      <w:r>
        <w:br/>
      </w:r>
      <w:r>
        <w:rPr>
          <w:rStyle w:val="VerbatimChar"/>
        </w:rPr>
        <w:t xml:space="preserve">        SCORES["pt_scores.R&lt;br/&gt;z, z', ζ, En"]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APP["🖥️ app.R"]</w:t>
      </w:r>
      <w:r>
        <w:br/>
      </w:r>
      <w:r>
        <w:rPr>
          <w:rStyle w:val="VerbatimChar"/>
        </w:rPr>
        <w:t xml:space="preserve">        UI["UI (fluidPage)&lt;br/&gt;Bootstrap 5"]</w:t>
      </w:r>
      <w:r>
        <w:br/>
      </w:r>
      <w:r>
        <w:rPr>
          <w:rStyle w:val="VerbatimChar"/>
        </w:rPr>
        <w:t xml:space="preserve">        SERVER["Servidor (reactivos)&lt;br/&gt;Procesamiento de datos"]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DATA["📊 Archivos de Datos"]</w:t>
      </w:r>
      <w:r>
        <w:br/>
      </w:r>
      <w:r>
        <w:rPr>
          <w:rStyle w:val="VerbatimChar"/>
        </w:rPr>
        <w:t xml:space="preserve">        HOMCSV["homogeneity.csv"]</w:t>
      </w:r>
      <w:r>
        <w:br/>
      </w:r>
      <w:r>
        <w:rPr>
          <w:rStyle w:val="VerbatimChar"/>
        </w:rPr>
        <w:t xml:space="preserve">        STABCSV["stability.csv"]</w:t>
      </w:r>
      <w:r>
        <w:br/>
      </w:r>
      <w:r>
        <w:rPr>
          <w:rStyle w:val="VerbatimChar"/>
        </w:rPr>
        <w:t xml:space="preserve">        PARTCSV["participants_data*.csv"]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OUTPUT["📄 Salida"]</w:t>
      </w:r>
      <w:r>
        <w:br/>
      </w:r>
      <w:r>
        <w:rPr>
          <w:rStyle w:val="VerbatimChar"/>
        </w:rPr>
        <w:t xml:space="preserve">        REPORTS["Informes RMarkdown"]</w:t>
      </w:r>
      <w:r>
        <w:br/>
      </w:r>
      <w:r>
        <w:rPr>
          <w:rStyle w:val="VerbatimChar"/>
        </w:rPr>
        <w:t xml:space="preserve">        PLOTS["Gráficos interactivos"]</w:t>
      </w:r>
      <w:r>
        <w:br/>
      </w:r>
      <w:r>
        <w:rPr>
          <w:rStyle w:val="VerbatimChar"/>
        </w:rPr>
        <w:t xml:space="preserve">        TABLES["Tablas de datos"]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APP --&gt;|"devtools::load_all()"| ptcalc</w:t>
      </w:r>
      <w:r>
        <w:br/>
      </w:r>
      <w:r>
        <w:rPr>
          <w:rStyle w:val="VerbatimChar"/>
        </w:rPr>
        <w:t xml:space="preserve">    DATA --&gt; UPLOAD["UI de Carga de Archivos"]</w:t>
      </w:r>
      <w:r>
        <w:br/>
      </w:r>
      <w:r>
        <w:rPr>
          <w:rStyle w:val="VerbatimChar"/>
        </w:rPr>
        <w:t xml:space="preserve">    UPLOAD --&gt; SERVER</w:t>
      </w:r>
      <w:r>
        <w:br/>
      </w:r>
      <w:r>
        <w:rPr>
          <w:rStyle w:val="VerbatimChar"/>
        </w:rPr>
        <w:t xml:space="preserve">    SERVER --&gt; ptcalc</w:t>
      </w:r>
      <w:r>
        <w:br/>
      </w:r>
      <w:r>
        <w:rPr>
          <w:rStyle w:val="VerbatimChar"/>
        </w:rPr>
        <w:t xml:space="preserve">    ptcalc --&gt; SERVER</w:t>
      </w:r>
      <w:r>
        <w:br/>
      </w:r>
      <w:r>
        <w:rPr>
          <w:rStyle w:val="VerbatimChar"/>
        </w:rPr>
        <w:t xml:space="preserve">    SERVER --&gt; OUTPUT</w:t>
      </w:r>
    </w:p>
    <w:p>
      <w:r>
        <w:pict>
          <v:rect style="width:0;height:1.5pt" o:hralign="center" o:hrstd="t" o:hr="t"/>
        </w:pict>
      </w:r>
    </w:p>
    <w:bookmarkEnd w:id="16"/>
    <w:bookmarkStart w:id="17" w:name="flujo-de-datos"/>
    <w:p>
      <w:pPr>
        <w:pStyle w:val="Heading2"/>
      </w:pPr>
      <w:r>
        <w:t xml:space="preserve">Flujo de Datos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CSV["Archivos CSV"] --&gt; LOAD["Carga de Datos&lt;br/&gt;vroom::vroom()"]</w:t>
      </w:r>
      <w:r>
        <w:br/>
      </w:r>
      <w:r>
        <w:rPr>
          <w:rStyle w:val="VerbatimChar"/>
        </w:rPr>
        <w:t xml:space="preserve">    LOAD --&gt; HOM["Análisis de Homogeneidad&lt;br/&gt;pt_homogeneity()"]</w:t>
      </w:r>
      <w:r>
        <w:br/>
      </w:r>
      <w:r>
        <w:rPr>
          <w:rStyle w:val="VerbatimChar"/>
        </w:rPr>
        <w:t xml:space="preserve">    LOAD --&gt; STAB["Análisis de Estabilidad&lt;br/&gt;t-test"]</w:t>
      </w:r>
      <w:r>
        <w:br/>
      </w:r>
      <w:r>
        <w:rPr>
          <w:rStyle w:val="VerbatimChar"/>
        </w:rPr>
        <w:t xml:space="preserve">    LOAD --&gt; VA["Valor Asignado&lt;br/&gt;Algoritmo A"]</w:t>
      </w:r>
      <w:r>
        <w:br/>
      </w:r>
      <w:r>
        <w:rPr>
          <w:rStyle w:val="VerbatimChar"/>
        </w:rPr>
        <w:t xml:space="preserve">    HOM --&gt; QUAL["Calidad del Ítem&lt;br/&gt;u_hom, u_stab"]</w:t>
      </w:r>
      <w:r>
        <w:br/>
      </w:r>
      <w:r>
        <w:rPr>
          <w:rStyle w:val="VerbatimChar"/>
        </w:rPr>
        <w:t xml:space="preserve">    STAB --&gt; QUAL</w:t>
      </w:r>
      <w:r>
        <w:br/>
      </w:r>
      <w:r>
        <w:rPr>
          <w:rStyle w:val="VerbatimChar"/>
        </w:rPr>
        <w:t xml:space="preserve">    VA --&gt; SCORES["Puntajes PT&lt;br/&gt;z, z', ζ, En"]</w:t>
      </w:r>
      <w:r>
        <w:br/>
      </w:r>
      <w:r>
        <w:rPr>
          <w:rStyle w:val="VerbatimChar"/>
        </w:rPr>
        <w:t xml:space="preserve">    QUAL --&gt; SCORES</w:t>
      </w:r>
      <w:r>
        <w:br/>
      </w:r>
      <w:r>
        <w:rPr>
          <w:rStyle w:val="VerbatimChar"/>
        </w:rPr>
        <w:t xml:space="preserve">    SCORES --&gt; REPORT["Generación de Informes&lt;br/&gt;RMarkdown"]</w:t>
      </w:r>
    </w:p>
    <w:p>
      <w:r>
        <w:pict>
          <v:rect style="width:0;height:1.5pt" o:hralign="center" o:hrstd="t" o:hr="t"/>
        </w:pict>
      </w:r>
    </w:p>
    <w:bookmarkEnd w:id="17"/>
    <w:bookmarkStart w:id="25" w:name="módulos-de-la-aplicación"/>
    <w:p>
      <w:pPr>
        <w:pStyle w:val="Heading2"/>
      </w:pPr>
      <w:r>
        <w:t xml:space="preserve">Módulos de la Aplicación</w:t>
      </w:r>
    </w:p>
    <w:bookmarkStart w:id="18" w:name="carga-de-datos"/>
    <w:p>
      <w:pPr>
        <w:pStyle w:val="Heading3"/>
      </w:pPr>
      <w:r>
        <w:t xml:space="preserve">1. Carga de datos</w:t>
      </w:r>
    </w:p>
    <w:p>
      <w:pPr>
        <w:pStyle w:val="FirstParagraph"/>
      </w:pPr>
      <w:r>
        <w:t xml:space="preserve">Este módulo gestiona la carga inicial de archivos CSV para el análisis.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Entradas:</w:t>
      </w:r>
      <w:r>
        <w:t xml:space="preserve"> </w:t>
      </w:r>
      <w:r>
        <w:t xml:space="preserve">Archivos</w:t>
      </w:r>
      <w:r>
        <w:t xml:space="preserve"> </w:t>
      </w:r>
      <w:r>
        <w:rPr>
          <w:rStyle w:val="VerbatimChar"/>
        </w:rPr>
        <w:t xml:space="preserve">homogeneity.csv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stability.csv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summary_n*.csv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Validación:</w:t>
      </w:r>
      <w:r>
        <w:t xml:space="preserve"> </w:t>
      </w:r>
      <w:r>
        <w:t xml:space="preserve">Verifica las columnas requeridas (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pollutant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).</w:t>
      </w:r>
    </w:p>
    <w:bookmarkEnd w:id="18"/>
    <w:bookmarkStart w:id="19" w:name="análisis-de-homogeneidad-y-estabilidad"/>
    <w:p>
      <w:pPr>
        <w:pStyle w:val="Heading3"/>
      </w:pPr>
      <w:r>
        <w:t xml:space="preserve">2. Análisis de Homogeneidad y Estabilidad</w:t>
      </w:r>
    </w:p>
    <w:p>
      <w:pPr>
        <w:pStyle w:val="FirstParagraph"/>
      </w:pPr>
      <w:r>
        <w:t xml:space="preserve">Evalúa si los ítems del ensayo de aptitud son suficientemente homogéneos y estables.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Entradas:</w:t>
      </w:r>
      <w:r>
        <w:t xml:space="preserve"> </w:t>
      </w:r>
      <w:r>
        <w:t xml:space="preserve">Elección del contaminante, nivel de concentración.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Salidas:</w:t>
      </w:r>
      <w:r>
        <w:t xml:space="preserve"> </w:t>
      </w:r>
      <w:r>
        <w:t xml:space="preserve">Previsualización de datos, resumen de ANOVA, evaluaciones de homogeneidad y estabilidad (</w:t>
      </w:r>
      <m:oMath>
        <m:sSub>
          <m:e>
            <m:r>
              <m:t>s</m:t>
            </m:r>
          </m:e>
          <m:sub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w</m:t>
            </m:r>
          </m:sub>
        </m:sSub>
      </m:oMath>
      <w:r>
        <w:t xml:space="preserve">, verificación de criterios ISO).</w:t>
      </w:r>
    </w:p>
    <w:bookmarkEnd w:id="19"/>
    <w:bookmarkStart w:id="20" w:name="preparación-del-pt"/>
    <w:p>
      <w:pPr>
        <w:pStyle w:val="Heading3"/>
      </w:pPr>
      <w:r>
        <w:t xml:space="preserve">3. Preparación del PT</w:t>
      </w:r>
    </w:p>
    <w:p>
      <w:pPr>
        <w:pStyle w:val="FirstParagraph"/>
      </w:pPr>
      <w:r>
        <w:t xml:space="preserve">Analiza los resultados de los participantes de diferentes rondas.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Funcionalidad:</w:t>
      </w:r>
      <w:r>
        <w:t xml:space="preserve"> </w:t>
      </w:r>
      <w:r>
        <w:t xml:space="preserve">Crea dinámicamente pestañas para cada contaminante.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Salidas:</w:t>
      </w:r>
      <w:r>
        <w:t xml:space="preserve"> </w:t>
      </w:r>
      <w:r>
        <w:t xml:space="preserve">Gráficos de barras, distribuciones y prueba de Grubbs para valores atípicos.</w:t>
      </w:r>
    </w:p>
    <w:bookmarkEnd w:id="20"/>
    <w:bookmarkStart w:id="21" w:name="valor-asignado-puntajes-pt"/>
    <w:p>
      <w:pPr>
        <w:pStyle w:val="Heading3"/>
      </w:pPr>
      <w:r>
        <w:t xml:space="preserve">4. Valor Asignado / Puntajes PT</w:t>
      </w:r>
    </w:p>
    <w:p>
      <w:pPr>
        <w:pStyle w:val="FirstParagraph"/>
      </w:pPr>
      <w:r>
        <w:t xml:space="preserve">Calcula los valores de referencia y los puntajes de desempeño de los participantes.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Funcionalidad:</w:t>
      </w:r>
      <w:r>
        <w:t xml:space="preserve"> </w:t>
      </w:r>
      <w:r>
        <w:t xml:space="preserve">Soporta Algoritmo A, Consenso (MADe/nIQR) o Laboratorio de referencia.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Puntuación:</w:t>
      </w:r>
      <w:r>
        <w:t xml:space="preserve"> </w:t>
      </w:r>
      <w:r>
        <w:t xml:space="preserve">Calcula puntajes z, z’, zeta y En utilizando estadísticas robustas.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Incertidumbre:</w:t>
      </w:r>
      <w:r>
        <w:t xml:space="preserve"> </w:t>
      </w:r>
      <w:r>
        <w:t xml:space="preserve">Incorpora la incertidumbre estándar del valor asignado (</w:t>
      </w:r>
      <m:oMath>
        <m:r>
          <m:t>u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).</w:t>
      </w:r>
    </w:p>
    <w:bookmarkEnd w:id="21"/>
    <w:bookmarkStart w:id="22" w:name="informe-global-y-generación-de-informes"/>
    <w:p>
      <w:pPr>
        <w:pStyle w:val="Heading3"/>
      </w:pPr>
      <w:r>
        <w:t xml:space="preserve">5. Informe Global y Generación de Informes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Informe Global:</w:t>
      </w:r>
      <w:r>
        <w:t xml:space="preserve"> </w:t>
      </w:r>
      <w:r>
        <w:t xml:space="preserve">Visualización en mapa de calor de los resultados en todos los niveles y contaminantes.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Generación de informes:</w:t>
      </w:r>
      <w:r>
        <w:t xml:space="preserve"> </w:t>
      </w:r>
      <w:r>
        <w:t xml:space="preserve">Interfaz para configurar y descargar el informe final en RMarkdown.</w:t>
      </w:r>
    </w:p>
    <w:bookmarkEnd w:id="22"/>
    <w:bookmarkStart w:id="24" w:name="componentes-de-la-interfaz-de-usuario"/>
    <w:p>
      <w:pPr>
        <w:pStyle w:val="Heading3"/>
      </w:pPr>
      <w:r>
        <w:t xml:space="preserve">Componentes de la Interfaz de Usuario</w:t>
      </w:r>
    </w:p>
    <w:p>
      <w:pPr>
        <w:pStyle w:val="FirstParagraph"/>
      </w:pPr>
      <w:r>
        <w:t xml:space="preserve">La aplicación utiliza un sistema de diseño moderno con componentes inspirados en shadcn: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2640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Referencia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Encabezado mejorado</w:t>
            </w:r>
          </w:p>
        </w:tc>
        <w:tc>
          <w:tcPr/>
          <w:p>
            <w:pPr>
              <w:pStyle w:val="Compact"/>
            </w:pPr>
            <w:r>
              <w:t xml:space="preserve">Logo UNAL + imagen institucional</w:t>
            </w:r>
          </w:p>
        </w:tc>
        <w:tc>
          <w:tcPr/>
          <w:p>
            <w:pPr>
              <w:pStyle w:val="Compact"/>
            </w:pPr>
            <w:r>
              <w:t xml:space="preserve">Líneas 828-902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Tarjetas shadcn</w:t>
            </w:r>
          </w:p>
        </w:tc>
        <w:tc>
          <w:tcPr/>
          <w:p>
            <w:pPr>
              <w:pStyle w:val="Compact"/>
            </w:pPr>
            <w:r>
              <w:t xml:space="preserve">Sistema moderno de componentes de tarjetas</w:t>
            </w:r>
          </w:p>
        </w:tc>
        <w:tc>
          <w:tcPr/>
          <w:p>
            <w:pPr>
              <w:pStyle w:val="Compact"/>
            </w:pPr>
            <w:r>
              <w:t xml:space="preserve">Líneas 903-960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Alertas shadcn</w:t>
            </w:r>
          </w:p>
        </w:tc>
        <w:tc>
          <w:tcPr/>
          <w:p>
            <w:pPr>
              <w:pStyle w:val="Compact"/>
            </w:pPr>
            <w:r>
              <w:t xml:space="preserve">Variantes de alerta (info, éxito, advertencia, error)</w:t>
            </w:r>
          </w:p>
        </w:tc>
        <w:tc>
          <w:tcPr/>
          <w:p>
            <w:pPr>
              <w:pStyle w:val="Compact"/>
            </w:pPr>
            <w:r>
              <w:t xml:space="preserve">Líneas 961-1021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Badges shadcn</w:t>
            </w:r>
          </w:p>
        </w:tc>
        <w:tc>
          <w:tcPr/>
          <w:p>
            <w:pPr>
              <w:pStyle w:val="Compact"/>
            </w:pPr>
            <w:r>
              <w:t xml:space="preserve">Badges de estado con variantes de puntuación</w:t>
            </w:r>
          </w:p>
        </w:tc>
        <w:tc>
          <w:tcPr/>
          <w:p>
            <w:pPr>
              <w:pStyle w:val="Compact"/>
            </w:pPr>
            <w:r>
              <w:t xml:space="preserve">Líneas 1022-1075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Componentes de carga</w:t>
            </w:r>
          </w:p>
        </w:tc>
        <w:tc>
          <w:tcPr/>
          <w:p>
            <w:pPr>
              <w:pStyle w:val="Compact"/>
            </w:pPr>
            <w:r>
              <w:t xml:space="preserve">Cuadrícula de carga de archivos y entradas con estilo</w:t>
            </w:r>
          </w:p>
        </w:tc>
        <w:tc>
          <w:tcPr/>
          <w:p>
            <w:pPr>
              <w:pStyle w:val="Compact"/>
            </w:pPr>
            <w:r>
              <w:t xml:space="preserve">Líneas 1076-1159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Pie de página moderno</w:t>
            </w:r>
          </w:p>
        </w:tc>
        <w:tc>
          <w:tcPr/>
          <w:p>
            <w:pPr>
              <w:pStyle w:val="Compact"/>
            </w:pPr>
            <w:r>
              <w:t xml:space="preserve">Diseño de pie de página de tres columnas</w:t>
            </w:r>
          </w:p>
        </w:tc>
        <w:tc>
          <w:tcPr/>
          <w:p>
            <w:pPr>
              <w:pStyle w:val="Compact"/>
            </w:pPr>
            <w:r>
              <w:t xml:space="preserve">Líneas 1217-1280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Referencia de UI y CSS</w:t>
            </w:r>
          </w:p>
        </w:tc>
        <w:tc>
          <w:tcPr/>
          <w:p>
            <w:pPr>
              <w:pStyle w:val="Compact"/>
            </w:pPr>
            <w:r>
              <w:t xml:space="preserve">Componentes shadcn, arquitectura CSS (1,456 líneas)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Para la documentación completa de CSS, consulte</w:t>
      </w:r>
      <w:r>
        <w:t xml:space="preserve"> </w:t>
      </w:r>
      <w:hyperlink r:id="rId23">
        <w:r>
          <w:rPr>
            <w:rStyle w:val="Hyperlink"/>
          </w:rPr>
          <w:t xml:space="preserve">18_ui.md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datos-de-ejemplo"/>
    <w:p>
      <w:pPr>
        <w:pStyle w:val="Heading2"/>
      </w:pPr>
      <w:r>
        <w:t xml:space="preserve">Datos de Ejemplo</w:t>
      </w:r>
    </w:p>
    <w:p>
      <w:pPr>
        <w:pStyle w:val="FirstParagraph"/>
      </w:pPr>
      <w:r>
        <w:t xml:space="preserve">Se proporcionan archivos de datos de ejemplo en el directorio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homogeneity.csv</w:t>
            </w:r>
          </w:p>
        </w:tc>
        <w:tc>
          <w:tcPr/>
          <w:p>
            <w:pPr>
              <w:pStyle w:val="Compact"/>
            </w:pPr>
            <w:r>
              <w:t xml:space="preserve">Mediciones de la prueba de homogeneidad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stability.csv</w:t>
            </w:r>
          </w:p>
        </w:tc>
        <w:tc>
          <w:tcPr/>
          <w:p>
            <w:pPr>
              <w:pStyle w:val="Compact"/>
            </w:pPr>
            <w:r>
              <w:t xml:space="preserve">Mediciones de la prueba de estabilidad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summary_n4.csv</w:t>
            </w:r>
          </w:p>
        </w:tc>
        <w:tc>
          <w:tcPr/>
          <w:p>
            <w:pPr>
              <w:pStyle w:val="Compact"/>
            </w:pPr>
            <w:r>
              <w:t xml:space="preserve">Resultados de los participantes (escenario n=4)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summary_n7.csv</w:t>
            </w:r>
          </w:p>
        </w:tc>
        <w:tc>
          <w:tcPr/>
          <w:p>
            <w:pPr>
              <w:pStyle w:val="Compact"/>
            </w:pPr>
            <w:r>
              <w:t xml:space="preserve">Resultados de los participantes (escenario n=7)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summary_n10.csv</w:t>
            </w:r>
          </w:p>
        </w:tc>
        <w:tc>
          <w:tcPr/>
          <w:p>
            <w:pPr>
              <w:pStyle w:val="Compact"/>
            </w:pPr>
            <w:r>
              <w:t xml:space="preserve">Resultados de los participantes (escenario n=10)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summary_n13.csv</w:t>
            </w:r>
          </w:p>
        </w:tc>
        <w:tc>
          <w:tcPr/>
          <w:p>
            <w:pPr>
              <w:pStyle w:val="Compact"/>
            </w:pPr>
            <w:r>
              <w:t xml:space="preserve">Resultados de los participantes (escenario n=13)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50" w:name="índice-de-módulos"/>
    <w:p>
      <w:pPr>
        <w:pStyle w:val="Heading2"/>
      </w:pPr>
      <w:r>
        <w:t xml:space="preserve">Índice de Módulos</w:t>
      </w:r>
    </w:p>
    <w:bookmarkStart w:id="28" w:name="introducción"/>
    <w:p>
      <w:pPr>
        <w:pStyle w:val="Heading3"/>
      </w:pPr>
      <w:r>
        <w:t xml:space="preserve">Introducción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Guía de Inicio Rápido</w:t>
        </w:r>
      </w:hyperlink>
      <w:r>
        <w:t xml:space="preserve"> </w:t>
      </w:r>
      <w:r>
        <w:t xml:space="preserve">- Tutorial de 5 minutos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Glosario</w:t>
        </w:r>
      </w:hyperlink>
      <w:r>
        <w:t xml:space="preserve"> </w:t>
      </w:r>
      <w:r>
        <w:t xml:space="preserve">- Referencia de terminología español/inglés</w:t>
      </w:r>
    </w:p>
    <w:bookmarkEnd w:id="28"/>
    <w:bookmarkStart w:id="34" w:name="documentación-del-paquete-ptcalc"/>
    <w:p>
      <w:pPr>
        <w:pStyle w:val="Heading3"/>
      </w:pPr>
      <w:r>
        <w:t xml:space="preserve">Documentación del Paquete ptcalc</w:t>
      </w:r>
    </w:p>
    <w:p>
      <w:pPr>
        <w:pStyle w:val="Compact"/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Descripción General del Paquete</w:t>
        </w:r>
      </w:hyperlink>
      <w:r>
        <w:t xml:space="preserve"> </w:t>
      </w:r>
      <w:r>
        <w:t xml:space="preserve">- Arquitectura y exportaciones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Referencia de la API</w:t>
        </w:r>
      </w:hyperlink>
      <w:r>
        <w:t xml:space="preserve"> </w:t>
      </w:r>
      <w:r>
        <w:t xml:space="preserve">- Referencia completa de funciones</w:t>
      </w:r>
    </w:p>
    <w:p>
      <w:pPr>
        <w:pStyle w:val="Compact"/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Estadísticas Robustas</w:t>
        </w:r>
      </w:hyperlink>
      <w:r>
        <w:t xml:space="preserve"> </w:t>
      </w:r>
      <w:r>
        <w:t xml:space="preserve">- nIQR, MADe, Algoritmo A</w:t>
      </w:r>
    </w:p>
    <w:p>
      <w:pPr>
        <w:pStyle w:val="Compact"/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Homogeneidad y Estabilidad</w:t>
        </w:r>
      </w:hyperlink>
      <w:r>
        <w:t xml:space="preserve"> </w:t>
      </w:r>
      <w:r>
        <w:t xml:space="preserve">- Criterios ISO 13528</w:t>
      </w:r>
    </w:p>
    <w:p>
      <w:pPr>
        <w:pStyle w:val="Compact"/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Cálculos de Puntajes</w:t>
        </w:r>
      </w:hyperlink>
      <w:r>
        <w:t xml:space="preserve"> </w:t>
      </w:r>
      <w:r>
        <w:t xml:space="preserve">- Fórmulas de z, z’, zeta, En</w:t>
      </w:r>
    </w:p>
    <w:bookmarkEnd w:id="34"/>
    <w:bookmarkStart w:id="45" w:name="documentación-de-la-aplicación-shiny"/>
    <w:p>
      <w:pPr>
        <w:pStyle w:val="Heading3"/>
      </w:pPr>
      <w:r>
        <w:t xml:space="preserve">Documentación de la Aplicación Shiny</w:t>
      </w:r>
    </w:p>
    <w:p>
      <w:pPr>
        <w:pStyle w:val="Compact"/>
        <w:numPr>
          <w:ilvl w:val="0"/>
          <w:numId w:val="1004"/>
        </w:numPr>
      </w:pPr>
      <w:hyperlink r:id="rId35">
        <w:r>
          <w:rPr>
            <w:rStyle w:val="Hyperlink"/>
          </w:rPr>
          <w:t xml:space="preserve">Carga de Datos</w:t>
        </w:r>
      </w:hyperlink>
      <w:r>
        <w:t xml:space="preserve"> </w:t>
      </w:r>
      <w:r>
        <w:t xml:space="preserve">- Carga de archivos y validación</w:t>
      </w:r>
    </w:p>
    <w:p>
      <w:pPr>
        <w:pStyle w:val="Compact"/>
        <w:numPr>
          <w:ilvl w:val="0"/>
          <w:numId w:val="1004"/>
        </w:numPr>
      </w:pPr>
      <w:hyperlink r:id="rId36">
        <w:r>
          <w:rPr>
            <w:rStyle w:val="Hyperlink"/>
          </w:rPr>
          <w:t xml:space="preserve">Formatos de Datos</w:t>
        </w:r>
      </w:hyperlink>
      <w:r>
        <w:t xml:space="preserve"> </w:t>
      </w:r>
      <w:r>
        <w:t xml:space="preserve">- Referencia completa del esquema CSV</w:t>
      </w:r>
    </w:p>
    <w:p>
      <w:pPr>
        <w:pStyle w:val="Compact"/>
        <w:numPr>
          <w:ilvl w:val="0"/>
          <w:numId w:val="1004"/>
        </w:numPr>
      </w:pPr>
      <w:hyperlink r:id="rId37">
        <w:r>
          <w:rPr>
            <w:rStyle w:val="Hyperlink"/>
          </w:rPr>
          <w:t xml:space="preserve">Módulo de Homogeneidad</w:t>
        </w:r>
      </w:hyperlink>
      <w:r>
        <w:t xml:space="preserve"> </w:t>
      </w:r>
      <w:r>
        <w:t xml:space="preserve">- Componentes de la interfaz</w:t>
      </w:r>
    </w:p>
    <w:p>
      <w:pPr>
        <w:pStyle w:val="Compact"/>
        <w:numPr>
          <w:ilvl w:val="0"/>
          <w:numId w:val="1004"/>
        </w:numPr>
      </w:pPr>
      <w:hyperlink r:id="rId38">
        <w:r>
          <w:rPr>
            <w:rStyle w:val="Hyperlink"/>
          </w:rPr>
          <w:t xml:space="preserve">Valor Asignado</w:t>
        </w:r>
      </w:hyperlink>
      <w:r>
        <w:t xml:space="preserve"> </w:t>
      </w:r>
      <w:r>
        <w:t xml:space="preserve">- Métodos de consenso y referencia</w:t>
      </w:r>
    </w:p>
    <w:p>
      <w:pPr>
        <w:pStyle w:val="Compact"/>
        <w:numPr>
          <w:ilvl w:val="0"/>
          <w:numId w:val="1004"/>
        </w:numPr>
      </w:pPr>
      <w:hyperlink r:id="rId39">
        <w:r>
          <w:rPr>
            <w:rStyle w:val="Hyperlink"/>
          </w:rPr>
          <w:t xml:space="preserve">Módulo de Puntajes PT</w:t>
        </w:r>
      </w:hyperlink>
      <w:r>
        <w:t xml:space="preserve"> </w:t>
      </w:r>
      <w:r>
        <w:t xml:space="preserve">- Cálculo y visualización de puntajes</w:t>
      </w:r>
    </w:p>
    <w:p>
      <w:pPr>
        <w:pStyle w:val="Compact"/>
        <w:numPr>
          <w:ilvl w:val="0"/>
          <w:numId w:val="1004"/>
        </w:numPr>
      </w:pPr>
      <w:hyperlink r:id="rId40">
        <w:r>
          <w:rPr>
            <w:rStyle w:val="Hyperlink"/>
          </w:rPr>
          <w:t xml:space="preserve">Informe Global</w:t>
        </w:r>
      </w:hyperlink>
      <w:r>
        <w:t xml:space="preserve"> </w:t>
      </w:r>
      <w:r>
        <w:t xml:space="preserve">- Mapas de calor de resumen</w:t>
      </w:r>
    </w:p>
    <w:p>
      <w:pPr>
        <w:pStyle w:val="Compact"/>
        <w:numPr>
          <w:ilvl w:val="0"/>
          <w:numId w:val="1004"/>
        </w:numPr>
      </w:pPr>
      <w:hyperlink r:id="rId41">
        <w:r>
          <w:rPr>
            <w:rStyle w:val="Hyperlink"/>
          </w:rPr>
          <w:t xml:space="preserve">Detalle por Participante</w:t>
        </w:r>
      </w:hyperlink>
      <w:r>
        <w:t xml:space="preserve"> </w:t>
      </w:r>
      <w:r>
        <w:t xml:space="preserve">- Resultados individuales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Generación de Informes</w:t>
        </w:r>
      </w:hyperlink>
      <w:r>
        <w:t xml:space="preserve"> </w:t>
      </w:r>
      <w:r>
        <w:t xml:space="preserve">- Exportación a RMarkdown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Detección de Valores Atípicos</w:t>
        </w:r>
      </w:hyperlink>
      <w:r>
        <w:t xml:space="preserve"> </w:t>
      </w:r>
      <w:r>
        <w:t xml:space="preserve">- Prueba de Grubbs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Plantilla de Informe</w:t>
        </w:r>
      </w:hyperlink>
      <w:r>
        <w:t xml:space="preserve"> </w:t>
      </w:r>
      <w:r>
        <w:t xml:space="preserve">- Estructura RMarkdown (compatibilidad metrológica)</w:t>
      </w:r>
    </w:p>
    <w:bookmarkEnd w:id="45"/>
    <w:bookmarkStart w:id="49" w:name="temas-avanzados"/>
    <w:p>
      <w:pPr>
        <w:pStyle w:val="Heading3"/>
      </w:pPr>
      <w:r>
        <w:t xml:space="preserve">Temas Avanzados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Arquitectura del Sistema</w:t>
        </w:r>
      </w:hyperlink>
      <w:r>
        <w:t xml:space="preserve"> </w:t>
      </w:r>
      <w:r>
        <w:t xml:space="preserve">- Gráfico de dependencias reactivas, optimización del desempeño</w:t>
      </w:r>
    </w:p>
    <w:p>
      <w:pPr>
        <w:pStyle w:val="Compact"/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Guía de Personalización</w:t>
        </w:r>
      </w:hyperlink>
      <w:r>
        <w:t xml:space="preserve"> </w:t>
      </w:r>
      <w:r>
        <w:t xml:space="preserve">- Tema, diseño, extensión de ptcalc</w:t>
      </w:r>
    </w:p>
    <w:p>
      <w:pPr>
        <w:pStyle w:val="Compact"/>
        <w:numPr>
          <w:ilvl w:val="0"/>
          <w:numId w:val="1005"/>
        </w:numPr>
      </w:pPr>
      <w:hyperlink r:id="rId23">
        <w:r>
          <w:rPr>
            <w:rStyle w:val="Hyperlink"/>
          </w:rPr>
          <w:t xml:space="preserve">Referencia de UI y CSS</w:t>
        </w:r>
      </w:hyperlink>
      <w:r>
        <w:t xml:space="preserve"> </w:t>
      </w:r>
      <w:r>
        <w:t xml:space="preserve">- Componentes shadcn, arquitectura CSS (1458 líneas)</w:t>
      </w:r>
    </w:p>
    <w:p>
      <w:pPr>
        <w:pStyle w:val="Compact"/>
        <w:numPr>
          <w:ilvl w:val="0"/>
          <w:numId w:val="1005"/>
        </w:numPr>
      </w:pPr>
      <w:hyperlink r:id="rId48">
        <w:r>
          <w:rPr>
            <w:rStyle w:val="Hyperlink"/>
          </w:rPr>
          <w:t xml:space="preserve">Solución de Problemas y FAQ</w:t>
        </w:r>
      </w:hyperlink>
      <w:r>
        <w:t xml:space="preserve"> </w:t>
      </w:r>
      <w:r>
        <w:t xml:space="preserve">- Errores comunes, problemas de formato de datos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solución-de-problemas"/>
    <w:p>
      <w:pPr>
        <w:pStyle w:val="Heading2"/>
      </w:pPr>
      <w:r>
        <w:t xml:space="preserve">Solución de Problemas</w:t>
      </w:r>
    </w:p>
    <w:bookmarkStart w:id="51" w:name="errores-comunes"/>
    <w:p>
      <w:pPr>
        <w:pStyle w:val="Heading3"/>
      </w:pPr>
      <w:r>
        <w:t xml:space="preserve">Errores Comunes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Error: could not find function "xxx"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ptcalc</w:t>
            </w:r>
            <w:r>
              <w:t xml:space="preserve"> </w:t>
            </w:r>
            <w:r>
              <w:t xml:space="preserve">no cargado</w:t>
            </w:r>
          </w:p>
        </w:tc>
        <w:tc>
          <w:tcPr/>
          <w:p>
            <w:pPr>
              <w:pStyle w:val="Compact"/>
            </w:pPr>
            <w:r>
              <w:t xml:space="preserve">Ejecute</w:t>
            </w:r>
            <w:r>
              <w:t xml:space="preserve"> </w:t>
            </w:r>
            <w:r>
              <w:rPr>
                <w:rStyle w:val="VerbatimChar"/>
              </w:rPr>
              <w:t xml:space="preserve">devtools::load_all("ptcalc")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Error: El archivo debe contener las columnas...</w:t>
            </w:r>
          </w:p>
        </w:tc>
        <w:tc>
          <w:tcPr/>
          <w:p>
            <w:pPr>
              <w:pStyle w:val="Compact"/>
            </w:pPr>
            <w:r>
              <w:t xml:space="preserve">Encabezados CSV incorrectos</w:t>
            </w:r>
          </w:p>
        </w:tc>
        <w:tc>
          <w:tcPr/>
          <w:p>
            <w:pPr>
              <w:pStyle w:val="Compact"/>
            </w:pPr>
            <w:r>
              <w:t xml:space="preserve">Asegure los encabezados:</w:t>
            </w:r>
            <w:r>
              <w:t xml:space="preserve"> </w:t>
            </w:r>
            <w:r>
              <w:rPr>
                <w:rStyle w:val="VerbatimChar"/>
              </w:rPr>
              <w:t xml:space="preserve">pollutant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 from the server</w:t>
            </w:r>
          </w:p>
        </w:tc>
        <w:tc>
          <w:tcPr/>
          <w:p>
            <w:pPr>
              <w:pStyle w:val="Compact"/>
            </w:pPr>
            <w:r>
              <w:t xml:space="preserve">Caída de la sesión de R</w:t>
            </w:r>
          </w:p>
        </w:tc>
        <w:tc>
          <w:tcPr/>
          <w:p>
            <w:pPr>
              <w:pStyle w:val="Compact"/>
            </w:pPr>
            <w:r>
              <w:t xml:space="preserve">Revise la consola para logs de error. Reinicie la aplicación.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 'outliers' not found</w:t>
            </w:r>
          </w:p>
        </w:tc>
        <w:tc>
          <w:tcPr/>
          <w:p>
            <w:pPr>
              <w:pStyle w:val="Compact"/>
            </w:pPr>
            <w:r>
              <w:t xml:space="preserve">Falta dependencia</w:t>
            </w:r>
          </w:p>
        </w:tc>
        <w:tc>
          <w:tcPr/>
          <w:p>
            <w:pPr>
              <w:pStyle w:val="Compact"/>
            </w:pPr>
            <w:r>
              <w:t xml:space="preserve">Ejecute</w:t>
            </w:r>
            <w:r>
              <w:t xml:space="preserve"> </w:t>
            </w:r>
            <w:r>
              <w:rPr>
                <w:rStyle w:val="VerbatimChar"/>
              </w:rPr>
              <w:t xml:space="preserve">install.packages("outliers")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 data for Algorithm A</w:t>
            </w:r>
          </w:p>
        </w:tc>
        <w:tc>
          <w:tcPr/>
          <w:p>
            <w:pPr>
              <w:pStyle w:val="Compact"/>
            </w:pPr>
            <w:r>
              <w:t xml:space="preserve">&lt; 3 participantes</w:t>
            </w:r>
          </w:p>
        </w:tc>
        <w:tc>
          <w:tcPr/>
          <w:p>
            <w:pPr>
              <w:pStyle w:val="Compact"/>
            </w:pPr>
            <w:r>
              <w:t xml:space="preserve">Verifique que los datos tengan suficientes valores numéricos válidos.</w:t>
            </w:r>
          </w:p>
        </w:tc>
      </w:tr>
    </w:tbl>
    <w:bookmarkEnd w:id="51"/>
    <w:bookmarkStart w:id="52" w:name="problemas-de-formato-de-datos"/>
    <w:p>
      <w:pPr>
        <w:pStyle w:val="Heading3"/>
      </w:pPr>
      <w:r>
        <w:t xml:space="preserve">Problemas de Formato de Datos</w:t>
      </w:r>
    </w:p>
    <w:p>
      <w:pPr>
        <w:pStyle w:val="FirstParagraph"/>
      </w:pPr>
      <w:r>
        <w:t xml:space="preserve">Los archivos resumen deben seguir el patrón</w:t>
      </w:r>
      <w:r>
        <w:t xml:space="preserve"> </w:t>
      </w:r>
      <w:r>
        <w:rPr>
          <w:rStyle w:val="VerbatimChar"/>
        </w:rPr>
        <w:t xml:space="preserve">summary_n{N}.csv</w:t>
      </w:r>
      <w:r>
        <w:t xml:space="preserve"> </w:t>
      </w:r>
      <w:r>
        <w:t xml:space="preserve">donde</w:t>
      </w:r>
      <w:r>
        <w:t xml:space="preserve"> </w:t>
      </w:r>
      <w:r>
        <w:rPr>
          <w:rStyle w:val="VerbatimChar"/>
        </w:rPr>
        <w:t xml:space="preserve">{N}</w:t>
      </w:r>
      <w:r>
        <w:t xml:space="preserve"> </w:t>
      </w:r>
      <w:r>
        <w:t xml:space="preserve">es un número entero.</w:t>
      </w:r>
    </w:p>
    <w:bookmarkEnd w:id="52"/>
    <w:bookmarkStart w:id="53" w:name="problemas-de-desempeño"/>
    <w:p>
      <w:pPr>
        <w:pStyle w:val="Heading3"/>
      </w:pPr>
      <w:r>
        <w:t xml:space="preserve">Problemas de Desempeño</w:t>
      </w:r>
    </w:p>
    <w:p>
      <w:pPr>
        <w:pStyle w:val="FirstParagraph"/>
      </w:pPr>
      <w:r>
        <w:t xml:space="preserve">Para conjuntos de datos grandes (&gt;100 participantes), considere usar</w:t>
      </w:r>
      <w:r>
        <w:t xml:space="preserve"> </w:t>
      </w:r>
      <w:r>
        <w:rPr>
          <w:rStyle w:val="VerbatimChar"/>
        </w:rPr>
        <w:t xml:space="preserve">data.table</w:t>
      </w:r>
      <w:r>
        <w:t xml:space="preserve"> </w:t>
      </w:r>
      <w:r>
        <w:t xml:space="preserve">o reducir el análisis simultáneo de contaminantes.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documentación-para-desarrolladores"/>
    <w:p>
      <w:pPr>
        <w:pStyle w:val="Heading2"/>
      </w:pPr>
      <w:r>
        <w:t xml:space="preserve">Documentación para Desarrolladores</w:t>
      </w:r>
    </w:p>
    <w:bookmarkStart w:id="55" w:name="inmersión-en-app.r"/>
    <w:p>
      <w:pPr>
        <w:pStyle w:val="Heading3"/>
      </w:pPr>
      <w:r>
        <w:t xml:space="preserve">Inmersión en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FirstParagraph"/>
      </w:pPr>
      <w:r>
        <w:t xml:space="preserve">La función del servidor contiene la lógica para el procesamiento de datos: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Carga de Datos</w:t>
      </w:r>
      <w:r>
        <w:t xml:space="preserve">: Lee</w:t>
      </w:r>
      <w:r>
        <w:t xml:space="preserve"> </w:t>
      </w:r>
      <w:r>
        <w:rPr>
          <w:rStyle w:val="VerbatimChar"/>
        </w:rPr>
        <w:t xml:space="preserve">homogeneity.csv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stability.csv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summary_n*.csv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Expresiones Reactivas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homogeneity_run</w:t>
      </w:r>
      <w:r>
        <w:t xml:space="preserve">: Cálculos ANOVA e ISO.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scores_run</w:t>
      </w:r>
      <w:r>
        <w:t xml:space="preserve">: Puntajes z y otras métricas.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UI Dinámica</w:t>
      </w:r>
      <w:r>
        <w:t xml:space="preserve">: Utiliza</w:t>
      </w:r>
      <w:r>
        <w:t xml:space="preserve"> </w:t>
      </w:r>
      <w:r>
        <w:rPr>
          <w:rStyle w:val="VerbatimChar"/>
        </w:rPr>
        <w:t xml:space="preserve">renderUI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navlistPanel</w:t>
      </w:r>
      <w:r>
        <w:t xml:space="preserve"> </w:t>
      </w:r>
      <w:r>
        <w:t xml:space="preserve">para un diseño flexible.</w:t>
      </w:r>
    </w:p>
    <w:bookmarkEnd w:id="55"/>
    <w:bookmarkStart w:id="56" w:name="ejecución-de-verificaciones-de-sintaxis"/>
    <w:p>
      <w:pPr>
        <w:pStyle w:val="Heading3"/>
      </w:pPr>
      <w:r>
        <w:t xml:space="preserve">Ejecución de Verificaciones de Sintaxis</w:t>
      </w:r>
    </w:p>
    <w:p>
      <w:pPr>
        <w:pStyle w:val="SourceCode"/>
      </w:pPr>
      <w:r>
        <w:rPr>
          <w:rStyle w:val="ExtensionTok"/>
        </w:rPr>
        <w:t xml:space="preserve">./Rscript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"source('app.R')"</w:t>
      </w:r>
    </w:p>
    <w:p>
      <w:pPr>
        <w:pStyle w:val="FirstParagraph"/>
      </w:pPr>
      <w:r>
        <w:rPr>
          <w:i/>
          <w:iCs/>
        </w:rPr>
        <w:t xml:space="preserve">Nota: El stub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Rscript</w:t>
      </w:r>
      <w:r>
        <w:rPr>
          <w:i/>
          <w:iCs/>
        </w:rPr>
        <w:t xml:space="preserve"> </w:t>
      </w:r>
      <w:r>
        <w:rPr>
          <w:i/>
          <w:iCs/>
        </w:rPr>
        <w:t xml:space="preserve">en la raíz del proyecto realiza solo validación estructural.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guías-de-contribución"/>
    <w:p>
      <w:pPr>
        <w:pStyle w:val="Heading2"/>
      </w:pPr>
      <w:r>
        <w:t xml:space="preserve">Guías de Contribución</w:t>
      </w:r>
    </w:p>
    <w:p>
      <w:pPr>
        <w:pStyle w:val="Compact"/>
        <w:numPr>
          <w:ilvl w:val="0"/>
          <w:numId w:val="1006"/>
        </w:numPr>
      </w:pPr>
      <w:r>
        <w:t xml:space="preserve">Siga la</w:t>
      </w:r>
      <w:r>
        <w:t xml:space="preserve"> </w:t>
      </w:r>
      <w:hyperlink r:id="rId58">
        <w:r>
          <w:rPr>
            <w:rStyle w:val="Hyperlink"/>
          </w:rPr>
          <w:t xml:space="preserve">guía de estilo de tidyverse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Documente las funciones con comentarios roxygen2.</w:t>
      </w:r>
    </w:p>
    <w:p>
      <w:pPr>
        <w:pStyle w:val="Compact"/>
        <w:numPr>
          <w:ilvl w:val="0"/>
          <w:numId w:val="1006"/>
        </w:numPr>
      </w:pPr>
      <w:r>
        <w:t xml:space="preserve">Escriba pruebas unitarias para nuevos cálculos (</w:t>
      </w:r>
      <w:r>
        <w:rPr>
          <w:rStyle w:val="VerbatimChar"/>
        </w:rPr>
        <w:t xml:space="preserve">devtools::test()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Utilice diagramas mermaid para el flujo de datos en las actualizaciones de la documentación.</w:t>
      </w:r>
    </w:p>
    <w:p>
      <w:r>
        <w:pict>
          <v:rect style="width:0;height:1.5pt" o:hralign="center" o:hrstd="t" o:hr="t"/>
        </w:pict>
      </w:r>
    </w:p>
    <w:bookmarkEnd w:id="59"/>
    <w:bookmarkStart w:id="60" w:name="estándares-y-referencias"/>
    <w:p>
      <w:pPr>
        <w:pStyle w:val="Heading2"/>
      </w:pPr>
      <w:r>
        <w:t xml:space="preserve">Estándares y Referencias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Estándar</w:t>
            </w:r>
          </w:p>
        </w:tc>
        <w:tc>
          <w:tcPr/>
          <w:p>
            <w:pPr>
              <w:pStyle w:val="Compact"/>
            </w:pPr>
            <w: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Statistical methods for use in proficiency testing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17043:2024</w:t>
            </w:r>
          </w:p>
        </w:tc>
        <w:tc>
          <w:tcPr/>
          <w:p>
            <w:pPr>
              <w:pStyle w:val="Compact"/>
            </w:pPr>
            <w:r>
              <w:t xml:space="preserve">Conformity assessment — General requirements for proficiency testing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historial-de-versiones"/>
    <w:p>
      <w:pPr>
        <w:pStyle w:val="Heading2"/>
      </w:pPr>
      <w:r>
        <w:t xml:space="preserve">Historial de Versiones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Cambios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0.4.0</w:t>
            </w:r>
          </w:p>
        </w:tc>
        <w:tc>
          <w:tcPr/>
          <w:p>
            <w:pPr>
              <w:pStyle w:val="Compact"/>
            </w:pPr>
            <w:r>
              <w:t xml:space="preserve">2026-01-28</w:t>
            </w:r>
          </w:p>
        </w:tc>
        <w:tc>
          <w:tcPr/>
          <w:p>
            <w:pPr>
              <w:pStyle w:val="Compact"/>
            </w:pPr>
            <w:r>
              <w:t xml:space="preserve">Auditoría completa de documentación (25 archivos, ~7,313 líneas), documento maestro consolidado, corrección de referencias obsoletas, estandarización de idioma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0.3.0</w:t>
            </w:r>
          </w:p>
        </w:tc>
        <w:tc>
          <w:tcPr/>
          <w:p>
            <w:pPr>
              <w:pStyle w:val="Compact"/>
            </w:pPr>
            <w:r>
              <w:t xml:space="preserve">2026-01</w:t>
            </w:r>
          </w:p>
        </w:tc>
        <w:tc>
          <w:tcPr/>
          <w:p>
            <w:pPr>
              <w:pStyle w:val="Compact"/>
            </w:pPr>
            <w:r>
              <w:t xml:space="preserve">Rediseño moderno de la UI (componentes shadcn, encabezado/pie de página), función de compatibilidad metrológica, formato de datos mejorado (columna run)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0.2.0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Actualización de documentación (Fase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0.1.0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Versión inicial refactorizada con separación del paquete ptcalc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licencia-y-contacto"/>
    <w:p>
      <w:pPr>
        <w:pStyle w:val="Heading2"/>
      </w:pPr>
      <w:r>
        <w:t xml:space="preserve">Licencia y Contacto</w:t>
      </w:r>
    </w:p>
    <w:p>
      <w:pPr>
        <w:pStyle w:val="FirstParagraph"/>
      </w:pPr>
      <w:r>
        <w:t xml:space="preserve">Desarrollado bajo contrato OSE-282-3065-2025 por: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Laboratorio CALAIRE</w:t>
      </w:r>
      <w:r>
        <w:t xml:space="preserve"> </w:t>
      </w:r>
      <w:r>
        <w:t xml:space="preserve">- Universidad Nacional de Colombia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Instituto Nacional de Metrología (INM)</w:t>
      </w:r>
    </w:p>
    <w:p>
      <w:pPr>
        <w:pStyle w:val="BodyText"/>
      </w:pPr>
      <w:r>
        <w:t xml:space="preserve">Autor: Wilson Rafael Salas Chavez (wrsalasc@unal.edu.co)</w:t>
      </w:r>
      <w:r>
        <w:t xml:space="preserve"> </w:t>
      </w:r>
      <w:r>
        <w:t xml:space="preserve">Licencia: MIT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00_glosario.md" TargetMode="External" /><Relationship Type="http://schemas.openxmlformats.org/officeDocument/2006/relationships/hyperlink" Id="rId9" Target="00_inicio_rapido.md" TargetMode="External" /><Relationship Type="http://schemas.openxmlformats.org/officeDocument/2006/relationships/hyperlink" Id="rId35" Target="01_carga_datos.md" TargetMode="External" /><Relationship Type="http://schemas.openxmlformats.org/officeDocument/2006/relationships/hyperlink" Id="rId36" Target="01a_formatos_datos.md" TargetMode="External" /><Relationship Type="http://schemas.openxmlformats.org/officeDocument/2006/relationships/hyperlink" Id="rId29" Target="02_paquete_ptcalc.md" TargetMode="External" /><Relationship Type="http://schemas.openxmlformats.org/officeDocument/2006/relationships/hyperlink" Id="rId30" Target="02a_api_ptcalc.md" TargetMode="External" /><Relationship Type="http://schemas.openxmlformats.org/officeDocument/2006/relationships/hyperlink" Id="rId31" Target="03_estadisticas_robustas_pt.md" TargetMode="External" /><Relationship Type="http://schemas.openxmlformats.org/officeDocument/2006/relationships/hyperlink" Id="rId32" Target="04_homogeneidad_pt.md" TargetMode="External" /><Relationship Type="http://schemas.openxmlformats.org/officeDocument/2006/relationships/hyperlink" Id="rId33" Target="05_puntajes_pt.md" TargetMode="External" /><Relationship Type="http://schemas.openxmlformats.org/officeDocument/2006/relationships/hyperlink" Id="rId37" Target="06_homogeneidad_shiny.md" TargetMode="External" /><Relationship Type="http://schemas.openxmlformats.org/officeDocument/2006/relationships/hyperlink" Id="rId38" Target="07_valor_asignado.md" TargetMode="External" /><Relationship Type="http://schemas.openxmlformats.org/officeDocument/2006/relationships/hyperlink" Id="rId39" Target="09_puntajes_pt.md" TargetMode="External" /><Relationship Type="http://schemas.openxmlformats.org/officeDocument/2006/relationships/hyperlink" Id="rId40" Target="10_informe_global.md" TargetMode="External" /><Relationship Type="http://schemas.openxmlformats.org/officeDocument/2006/relationships/hyperlink" Id="rId41" Target="11_participantes.md" TargetMode="External" /><Relationship Type="http://schemas.openxmlformats.org/officeDocument/2006/relationships/hyperlink" Id="rId42" Target="12_generacion_informes.md" TargetMode="External" /><Relationship Type="http://schemas.openxmlformats.org/officeDocument/2006/relationships/hyperlink" Id="rId43" Target="13_valores_atipicos.md" TargetMode="External" /><Relationship Type="http://schemas.openxmlformats.org/officeDocument/2006/relationships/hyperlink" Id="rId44" Target="14_plantilla_informe.md" TargetMode="External" /><Relationship Type="http://schemas.openxmlformats.org/officeDocument/2006/relationships/hyperlink" Id="rId46" Target="15_arquitectura.md" TargetMode="External" /><Relationship Type="http://schemas.openxmlformats.org/officeDocument/2006/relationships/hyperlink" Id="rId47" Target="16_personalizacion.md" TargetMode="External" /><Relationship Type="http://schemas.openxmlformats.org/officeDocument/2006/relationships/hyperlink" Id="rId48" Target="17_solucion_problemas.md" TargetMode="External" /><Relationship Type="http://schemas.openxmlformats.org/officeDocument/2006/relationships/hyperlink" Id="rId23" Target="18_ui.md" TargetMode="External" /><Relationship Type="http://schemas.openxmlformats.org/officeDocument/2006/relationships/hyperlink" Id="rId11" Target="https://cran.r-project.org/" TargetMode="External" /><Relationship Type="http://schemas.openxmlformats.org/officeDocument/2006/relationships/hyperlink" Id="rId58" Target="https://style.tidyvers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00_glosario.md" TargetMode="External" /><Relationship Type="http://schemas.openxmlformats.org/officeDocument/2006/relationships/hyperlink" Id="rId9" Target="00_inicio_rapido.md" TargetMode="External" /><Relationship Type="http://schemas.openxmlformats.org/officeDocument/2006/relationships/hyperlink" Id="rId35" Target="01_carga_datos.md" TargetMode="External" /><Relationship Type="http://schemas.openxmlformats.org/officeDocument/2006/relationships/hyperlink" Id="rId36" Target="01a_formatos_datos.md" TargetMode="External" /><Relationship Type="http://schemas.openxmlformats.org/officeDocument/2006/relationships/hyperlink" Id="rId29" Target="02_paquete_ptcalc.md" TargetMode="External" /><Relationship Type="http://schemas.openxmlformats.org/officeDocument/2006/relationships/hyperlink" Id="rId30" Target="02a_api_ptcalc.md" TargetMode="External" /><Relationship Type="http://schemas.openxmlformats.org/officeDocument/2006/relationships/hyperlink" Id="rId31" Target="03_estadisticas_robustas_pt.md" TargetMode="External" /><Relationship Type="http://schemas.openxmlformats.org/officeDocument/2006/relationships/hyperlink" Id="rId32" Target="04_homogeneidad_pt.md" TargetMode="External" /><Relationship Type="http://schemas.openxmlformats.org/officeDocument/2006/relationships/hyperlink" Id="rId33" Target="05_puntajes_pt.md" TargetMode="External" /><Relationship Type="http://schemas.openxmlformats.org/officeDocument/2006/relationships/hyperlink" Id="rId37" Target="06_homogeneidad_shiny.md" TargetMode="External" /><Relationship Type="http://schemas.openxmlformats.org/officeDocument/2006/relationships/hyperlink" Id="rId38" Target="07_valor_asignado.md" TargetMode="External" /><Relationship Type="http://schemas.openxmlformats.org/officeDocument/2006/relationships/hyperlink" Id="rId39" Target="09_puntajes_pt.md" TargetMode="External" /><Relationship Type="http://schemas.openxmlformats.org/officeDocument/2006/relationships/hyperlink" Id="rId40" Target="10_informe_global.md" TargetMode="External" /><Relationship Type="http://schemas.openxmlformats.org/officeDocument/2006/relationships/hyperlink" Id="rId41" Target="11_participantes.md" TargetMode="External" /><Relationship Type="http://schemas.openxmlformats.org/officeDocument/2006/relationships/hyperlink" Id="rId42" Target="12_generacion_informes.md" TargetMode="External" /><Relationship Type="http://schemas.openxmlformats.org/officeDocument/2006/relationships/hyperlink" Id="rId43" Target="13_valores_atipicos.md" TargetMode="External" /><Relationship Type="http://schemas.openxmlformats.org/officeDocument/2006/relationships/hyperlink" Id="rId44" Target="14_plantilla_informe.md" TargetMode="External" /><Relationship Type="http://schemas.openxmlformats.org/officeDocument/2006/relationships/hyperlink" Id="rId46" Target="15_arquitectura.md" TargetMode="External" /><Relationship Type="http://schemas.openxmlformats.org/officeDocument/2006/relationships/hyperlink" Id="rId47" Target="16_personalizacion.md" TargetMode="External" /><Relationship Type="http://schemas.openxmlformats.org/officeDocument/2006/relationships/hyperlink" Id="rId48" Target="17_solucion_problemas.md" TargetMode="External" /><Relationship Type="http://schemas.openxmlformats.org/officeDocument/2006/relationships/hyperlink" Id="rId23" Target="18_ui.md" TargetMode="External" /><Relationship Type="http://schemas.openxmlformats.org/officeDocument/2006/relationships/hyperlink" Id="rId11" Target="https://cran.r-project.org/" TargetMode="External" /><Relationship Type="http://schemas.openxmlformats.org/officeDocument/2006/relationships/hyperlink" Id="rId58" Target="https://style.tidyvers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2026-01-29T03:50:38Z</dcterms:created>
  <dcterms:modified xsi:type="dcterms:W3CDTF">2026-01-29T03:50:38Z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