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d6578760a22c296ff8459918b7d3e4aa8e910"/>
    <w:p>
      <w:pPr>
        <w:pStyle w:val="Heading1"/>
      </w:pPr>
      <w:r>
        <w:t xml:space="preserve">Entregable 03 — Ejemplo reproducible de cálculos 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E03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documental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Vigente contra</w:t>
            </w:r>
            <w:r>
              <w:t xml:space="preserve"> </w:t>
            </w:r>
            <w:r>
              <w:rPr>
                <w:rStyle w:val="VerbatimChar"/>
              </w:rPr>
              <w:t xml:space="preserve">ptcalc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Audiencia principal</w:t>
            </w:r>
          </w:p>
        </w:tc>
        <w:tc>
          <w:tcPr/>
          <w:p>
            <w:pPr>
              <w:pStyle w:val="Compact"/>
            </w:pPr>
            <w:r>
              <w:t xml:space="preserve">Usuario que necesita comprender el 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Anexo técnico</w:t>
            </w:r>
          </w:p>
        </w:tc>
        <w:tc>
          <w:tcPr/>
          <w:p>
            <w:pPr>
              <w:pStyle w:val="Compact"/>
            </w:pPr>
            <w:r>
              <w:t xml:space="preserve">Código reproducible incluido en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Aprobación externa</w:t>
            </w:r>
          </w:p>
        </w:tc>
        <w:tc>
          <w:tcPr/>
          <w:p>
            <w:pPr>
              <w:pStyle w:val="Compact"/>
            </w:pPr>
            <w:r>
              <w:t xml:space="preserve">Pendiente</w:t>
            </w:r>
          </w:p>
        </w:tc>
      </w:tr>
    </w:tbl>
    <w:bookmarkStart w:id="9" w:name="qué-demuestra-el-ejemplo"/>
    <w:p>
      <w:pPr>
        <w:pStyle w:val="Heading2"/>
      </w:pPr>
      <w:r>
        <w:t xml:space="preserve">Qué demuestra el ejemplo</w:t>
      </w:r>
    </w:p>
    <w:p>
      <w:pPr>
        <w:pStyle w:val="FirstParagraph"/>
      </w:pPr>
      <w:r>
        <w:t xml:space="preserve">El ejemplo recorre homogeneidad, estabilidad, estimadores robustos y valor</w:t>
      </w:r>
      <w:r>
        <w:t xml:space="preserve"> </w:t>
      </w:r>
      <w:r>
        <w:t xml:space="preserve">asignado con datos sintéticos sin información sensible. Las cifras se calculan</w:t>
      </w:r>
      <w:r>
        <w:t xml:space="preserve"> </w:t>
      </w:r>
      <w:r>
        <w:t xml:space="preserve">con el código vigente; no son transcripciones manuales de una versión anterior.</w:t>
      </w:r>
      <w:r>
        <w:t xml:space="preserve"> </w:t>
      </w:r>
      <w:r>
        <w:t xml:space="preserve">La unidad ilustrativa es</w:t>
      </w:r>
      <w:r>
        <w:t xml:space="preserve"> </w:t>
      </w:r>
      <w:r>
        <w:rPr>
          <w:rStyle w:val="VerbatimChar"/>
        </w:rPr>
        <w:t xml:space="preserve">µmol/mol</w:t>
      </w:r>
      <w:r>
        <w:t xml:space="preserve">, pero todas las entradas de una operación</w:t>
      </w:r>
      <w:r>
        <w:t xml:space="preserve"> </w:t>
      </w:r>
      <w:r>
        <w:t xml:space="preserve">real deben compartir la misma unidad.</w:t>
      </w:r>
    </w:p>
    <w:bookmarkEnd w:id="9"/>
    <w:bookmarkStart w:id="10" w:name="datos-de-demostración"/>
    <w:p>
      <w:pPr>
        <w:pStyle w:val="Heading2"/>
      </w:pPr>
      <w:r>
        <w:t xml:space="preserve">Datos de demostración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load_all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"ptcalc"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participants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9.91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fila de</w:t>
      </w:r>
      <w:r>
        <w:t xml:space="preserve"> </w:t>
      </w:r>
      <w:r>
        <w:rPr>
          <w:rStyle w:val="VerbatimChar"/>
        </w:rPr>
        <w:t xml:space="preserve">hom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stab</w:t>
      </w:r>
      <w:r>
        <w:t xml:space="preserve"> </w:t>
      </w:r>
      <w:r>
        <w:t xml:space="preserve">es un ítem y cada columna es una réplica. Antes de</w:t>
      </w:r>
      <w:r>
        <w:t xml:space="preserve"> </w:t>
      </w:r>
      <w:r>
        <w:t xml:space="preserve">usar datos reales se debe verificar que haya al menos dos ítems y dos réplicas.</w:t>
      </w:r>
    </w:p>
    <w:bookmarkEnd w:id="10"/>
    <w:bookmarkStart w:id="11" w:name="homogeneidad"/>
    <w:p>
      <w:pPr>
        <w:pStyle w:val="Heading2"/>
      </w:pPr>
      <w:r>
        <w:t xml:space="preserve">1. Homogeneidad</w:t>
      </w:r>
    </w:p>
    <w:p>
      <w:pPr>
        <w:pStyle w:val="SourceCode"/>
      </w:pP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calculate_homogeneity_stats</w:t>
      </w:r>
      <w:r>
        <w:rPr>
          <w:rStyle w:val="NormalTok"/>
        </w:rPr>
        <w:t xml:space="preserve">(hom)</w:t>
      </w:r>
      <w:r>
        <w:br/>
      </w:r>
      <w:r>
        <w:rPr>
          <w:rStyle w:val="NormalTok"/>
        </w:rPr>
        <w:t xml:space="preserve">c_base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calculate_homogeneity_criterion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MADe)</w:t>
      </w:r>
      <w:r>
        <w:br/>
      </w:r>
      <w:r>
        <w:rPr>
          <w:rStyle w:val="NormalTok"/>
        </w:rPr>
        <w:t xml:space="preserve">c_exp_sq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calculate_homogeneity_criterion_expanded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evaluation_h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evaluate_homogeneity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ss, c_base, c_exp_sq)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general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10.008500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Centro de todos los resultados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0.017748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Variación dentro de los ítems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Variación estimada entre ítems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MADe usado como</w:t>
            </w:r>
            <w:r>
              <w:t xml:space="preserve"> </w:t>
            </w:r>
            <w:r>
              <w:rPr>
                <w:rStyle w:val="VerbatimChar"/>
              </w:rPr>
              <w:t xml:space="preserve">σ_pt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Dispersión robusta para este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básico</w:t>
            </w:r>
            <w:r>
              <w:t xml:space="preserve"> </w:t>
            </w:r>
            <w:r>
              <w:rPr>
                <w:rStyle w:val="VerbatimChar"/>
              </w:rPr>
              <w:t xml:space="preserve">0.3 σ_pt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Límite básico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Término expandido retornado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(µmol/mol)²</w:t>
            </w:r>
          </w:p>
        </w:tc>
        <w:tc>
          <w:tcPr/>
          <w:p>
            <w:pPr>
              <w:pStyle w:val="Compact"/>
            </w:pPr>
            <w:r>
              <w:t xml:space="preserve">Valor cuadrático calculado por tabla</w:t>
            </w:r>
          </w:p>
        </w:tc>
      </w:tr>
    </w:tbl>
    <w:p>
      <w:pPr>
        <w:pStyle w:val="BodyText"/>
      </w:pPr>
      <w:r>
        <w:t xml:space="preserve">Aquí</w:t>
      </w:r>
      <w:r>
        <w:t xml:space="preserve"> </w:t>
      </w:r>
      <w:r>
        <w:rPr>
          <w:rStyle w:val="VerbatimChar"/>
        </w:rPr>
        <w:t xml:space="preserve">s_s</w:t>
      </w:r>
      <w:r>
        <w:t xml:space="preserve"> </w:t>
      </w:r>
      <w:r>
        <w:t xml:space="preserve">supera tanto el criterio básico como el valor expandido retornado.</w:t>
      </w:r>
      <w:r>
        <w:t xml:space="preserve"> </w:t>
      </w:r>
      <w:r>
        <w:t xml:space="preserve">La conclusión no significa automáticamente que una ronda sea aceptada o</w:t>
      </w:r>
      <w:r>
        <w:t xml:space="preserve"> </w:t>
      </w:r>
      <w:r>
        <w:t xml:space="preserve">rechazada: el proveedor debe justificar el criterio aplicable y conservar los</w:t>
      </w:r>
      <w:r>
        <w:t xml:space="preserve"> </w:t>
      </w:r>
      <w:r>
        <w:t xml:space="preserve">datos y la decisión.</w:t>
      </w:r>
    </w:p>
    <w:p>
      <w:pPr>
        <w:pStyle w:val="BodyText"/>
      </w:pPr>
      <w:r>
        <w:t xml:space="preserve">Nota técnica: con argumentos nombrados</w:t>
      </w:r>
      <w:r>
        <w:t xml:space="preserve"> </w:t>
      </w:r>
      <w:r>
        <w:rPr>
          <w:rStyle w:val="VerbatimChar"/>
        </w:rPr>
        <w:t xml:space="preserve">sw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</w:t>
      </w:r>
      <w:r>
        <w:t xml:space="preserve">, la función de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 </w:t>
      </w:r>
      <w:r>
        <w:t xml:space="preserve">retorna el término cuadrático y la comparación vigente no aplica raíz. Además,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llama actualmente la función con tres argumentos posicionales, pero la</w:t>
      </w:r>
      <w:r>
        <w:t xml:space="preserve"> </w:t>
      </w:r>
      <w:r>
        <w:t xml:space="preserve">firma de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 </w:t>
      </w:r>
      <w:r>
        <w:t xml:space="preserve">tiene cuatro; esa ruta puede terminar con</w:t>
      </w:r>
      <w:r>
        <w:t xml:space="preserve"> </w:t>
      </w:r>
      <w:r>
        <w:rPr>
          <w:rStyle w:val="VerbatimChar"/>
        </w:rPr>
        <w:t xml:space="preserve">Invalid arguments</w:t>
      </w:r>
      <w:r>
        <w:t xml:space="preserve">.</w:t>
      </w:r>
      <w:r>
        <w:t xml:space="preserve"> </w:t>
      </w:r>
      <w:r>
        <w:t xml:space="preserve">Se registra como defecto pendiente porque mezcla unidades y puede impedir la</w:t>
      </w:r>
      <w:r>
        <w:t xml:space="preserve"> </w:t>
      </w:r>
      <w:r>
        <w:t xml:space="preserve">evaluación expandida. Este ejemplo reproduce el retorno comprobable de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, no presenta ese defecto como una conclusión normativa válida.</w:t>
      </w:r>
    </w:p>
    <w:bookmarkEnd w:id="11"/>
    <w:bookmarkStart w:id="12" w:name="estabilidad"/>
    <w:p>
      <w:pPr>
        <w:pStyle w:val="Heading2"/>
      </w:pPr>
      <w:r>
        <w:t xml:space="preserve">2. Estabilidad</w:t>
      </w:r>
    </w:p>
    <w:p>
      <w:pPr>
        <w:pStyle w:val="SourceCode"/>
      </w:pP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calculate_stability_stats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stab_sample_data =</w:t>
      </w:r>
      <w:r>
        <w:rPr>
          <w:rStyle w:val="NormalTok"/>
        </w:rPr>
        <w:t xml:space="preserve"> stab,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hom_general_mean_homog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general_mean_homog,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hom_stab_x_pt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x_pt,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hom_stab_sigma_pt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MADe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c_stab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calculate_stability_criterion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MADe)</w:t>
      </w:r>
      <w:r>
        <w:br/>
      </w:r>
      <w:r>
        <w:rPr>
          <w:rStyle w:val="NormalTok"/>
        </w:rPr>
        <w:t xml:space="preserve">evaluation_s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evaluate_stability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diff_hom_stab, c_stab)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 (</w:t>
            </w:r>
            <w:r>
              <w:rPr>
                <w:rStyle w:val="VerbatimChar"/>
              </w:rPr>
              <w:t xml:space="preserve">µmol/mol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 absoluta frente a homogeneidad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</w:t>
            </w:r>
            <w:r>
              <w:t xml:space="preserve"> </w:t>
            </w:r>
            <w:r>
              <w:rPr>
                <w:rStyle w:val="VerbatimChar"/>
              </w:rPr>
              <w:t xml:space="preserve">0.3 σ_pt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0.006674</w:t>
            </w:r>
          </w:p>
        </w:tc>
      </w:tr>
    </w:tbl>
    <w:p>
      <w:pPr>
        <w:pStyle w:val="BodyText"/>
      </w:pPr>
      <w:r>
        <w:t xml:space="preserve">Como</w:t>
      </w:r>
      <w:r>
        <w:t xml:space="preserve"> </w:t>
      </w:r>
      <w:r>
        <w:rPr>
          <w:rStyle w:val="VerbatimChar"/>
        </w:rPr>
        <w:t xml:space="preserve">0.001500 ≤ 0.006674</w:t>
      </w:r>
      <w:r>
        <w:t xml:space="preserve">, el conjunto ilustrativo cumple el criterio básico</w:t>
      </w:r>
      <w:r>
        <w:t xml:space="preserve"> </w:t>
      </w:r>
      <w:r>
        <w:t xml:space="preserve">de estabilidad implementado. La comparación usa valores sin redondear; el</w:t>
      </w:r>
      <w:r>
        <w:t xml:space="preserve"> </w:t>
      </w:r>
      <w:r>
        <w:t xml:space="preserve">redondeo de la tabla es solo de presentación.</w:t>
      </w:r>
    </w:p>
    <w:bookmarkEnd w:id="12"/>
    <w:bookmarkStart w:id="13" w:name="valor-asignado-y-dispersión-robusta"/>
    <w:p>
      <w:pPr>
        <w:pStyle w:val="Heading2"/>
      </w:pPr>
      <w:r>
        <w:t xml:space="preserve">3. Valor asignado y dispersión robusta</w:t>
      </w:r>
    </w:p>
    <w:p>
      <w:pPr>
        <w:pStyle w:val="SourceCode"/>
      </w:pPr>
      <w:r>
        <w:rPr>
          <w:rStyle w:val="NormalTok"/>
        </w:rPr>
        <w:t xml:space="preserve">median_x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(participants)</w:t>
      </w:r>
      <w:r>
        <w:br/>
      </w:r>
      <w:r>
        <w:rPr>
          <w:rStyle w:val="NormalTok"/>
        </w:rPr>
        <w:t xml:space="preserve">made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calculate_mad_e</w:t>
      </w:r>
      <w:r>
        <w:rPr>
          <w:rStyle w:val="NormalTok"/>
        </w:rPr>
        <w:t xml:space="preserve">(participants)</w:t>
      </w:r>
      <w:r>
        <w:br/>
      </w:r>
      <w:r>
        <w:rPr>
          <w:rStyle w:val="NormalTok"/>
        </w:rPr>
        <w:t xml:space="preserve">niqr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calculate_niqr</w:t>
      </w:r>
      <w:r>
        <w:rPr>
          <w:rStyle w:val="NormalTok"/>
        </w:rPr>
        <w:t xml:space="preserve">(participants)</w:t>
      </w:r>
      <w:r>
        <w:br/>
      </w:r>
      <w:r>
        <w:rPr>
          <w:rStyle w:val="NormalTok"/>
        </w:rPr>
        <w:t xml:space="preserve">algorithm_a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run_algorithm_a</w:t>
      </w:r>
      <w:r>
        <w:rPr>
          <w:rStyle w:val="NormalTok"/>
        </w:rPr>
        <w:t xml:space="preserve">(participants)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asignado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Dispersión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+ MADe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0.059320</w:t>
            </w:r>
          </w:p>
        </w:tc>
        <w:tc>
          <w:tcPr/>
          <w:p>
            <w:pPr>
              <w:pStyle w:val="Compact"/>
            </w:pPr>
            <w:r>
              <w:t xml:space="preserve">Resumen robusto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+ nIQR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0.074130</w:t>
            </w:r>
          </w:p>
        </w:tc>
        <w:tc>
          <w:tcPr/>
          <w:p>
            <w:pPr>
              <w:pStyle w:val="Compact"/>
            </w:pPr>
            <w:r>
              <w:t xml:space="preserve">Alternativa robusta por cuartiles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10.017017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0.079528</w:t>
            </w:r>
          </w:p>
        </w:tc>
        <w:tc>
          <w:tcPr/>
          <w:p>
            <w:pPr>
              <w:pStyle w:val="Compact"/>
            </w:pPr>
            <w:r>
              <w:t xml:space="preserve">Estimación iterativa winsorizada</w:t>
            </w:r>
          </w:p>
        </w:tc>
      </w:tr>
    </w:tbl>
    <w:p>
      <w:pPr>
        <w:pStyle w:val="BodyText"/>
      </w:pPr>
      <w:r>
        <w:t xml:space="preserve">El Algoritmo A converge por estabilidad en tres cifras significativas y</w:t>
      </w:r>
      <w:r>
        <w:t xml:space="preserve"> </w:t>
      </w:r>
      <w:r>
        <w:t xml:space="preserve">winsoriza una observación. El valor de</w:t>
      </w:r>
      <w:r>
        <w:t xml:space="preserve"> </w:t>
      </w:r>
      <w:r>
        <w:rPr>
          <w:rStyle w:val="VerbatimChar"/>
        </w:rPr>
        <w:t xml:space="preserve">10.60</w:t>
      </w:r>
      <w:r>
        <w:t xml:space="preserve"> </w:t>
      </w:r>
      <w:r>
        <w:t xml:space="preserve">no se borra: su influencia se</w:t>
      </w:r>
      <w:r>
        <w:t xml:space="preserve"> </w:t>
      </w:r>
      <w:r>
        <w:t xml:space="preserve">limita durante la iteración y queda registrada en</w:t>
      </w:r>
      <w:r>
        <w:t xml:space="preserve"> </w:t>
      </w:r>
      <w:r>
        <w:rPr>
          <w:rStyle w:val="VerbatimChar"/>
        </w:rPr>
        <w:t xml:space="preserve">algorithm_a$weights</w:t>
      </w:r>
      <w:r>
        <w:t xml:space="preserve">.</w:t>
      </w:r>
    </w:p>
    <w:bookmarkEnd w:id="13"/>
    <w:bookmarkStart w:id="14" w:name="Xb76d7228f5158f472ec7202fbab0771e23e6985"/>
    <w:p>
      <w:pPr>
        <w:pStyle w:val="Heading2"/>
      </w:pPr>
      <w:r>
        <w:t xml:space="preserve">4. Incertidumbres que continúan hacia los puntajes</w:t>
      </w:r>
    </w:p>
    <w:p>
      <w:pPr>
        <w:pStyle w:val="FirstParagraph"/>
      </w:pPr>
      <w:r>
        <w:t xml:space="preserve">La app puede combinar la incertidumbre del valor asignado con contribuciones de</w:t>
      </w:r>
      <w:r>
        <w:t xml:space="preserve"> </w:t>
      </w:r>
      <w:r>
        <w:t xml:space="preserve">homogeneidad y estabilidad.</w:t>
      </w:r>
      <w:r>
        <w:t xml:space="preserve"> </w:t>
      </w:r>
      <w:r>
        <w:rPr>
          <w:rStyle w:val="VerbatimChar"/>
        </w:rPr>
        <w:t xml:space="preserve">calculate_u_hom(ss)</w:t>
      </w:r>
      <w:r>
        <w:t xml:space="preserve"> </w:t>
      </w:r>
      <w:r>
        <w:t xml:space="preserve">toma</w:t>
      </w:r>
      <w:r>
        <w:t xml:space="preserve"> </w:t>
      </w:r>
      <w:r>
        <w:rPr>
          <w:rStyle w:val="VerbatimChar"/>
        </w:rPr>
        <w:t xml:space="preserve">s_s</w:t>
      </w:r>
      <w:r>
        <w:t xml:space="preserve">; y</w:t>
      </w:r>
      <w:r>
        <w:t xml:space="preserve"> </w:t>
      </w:r>
      <w:r>
        <w:rPr>
          <w:rStyle w:val="VerbatimChar"/>
        </w:rPr>
        <w:t xml:space="preserve">calculate_u_stab(diff_hom_stab, c_criterion)</w:t>
      </w:r>
      <w:r>
        <w:t xml:space="preserve"> </w:t>
      </w:r>
      <w:r>
        <w:t xml:space="preserve">devuelve cero cuando la diferencia</w:t>
      </w:r>
      <w:r>
        <w:t xml:space="preserve"> </w:t>
      </w:r>
      <w:r>
        <w:t xml:space="preserve">no rebasa el criterio; si lo rebasa, devuelve</w:t>
      </w:r>
      <w:r>
        <w:t xml:space="preserve"> </w:t>
      </w:r>
      <w:r>
        <w:rPr>
          <w:rStyle w:val="VerbatimChar"/>
        </w:rPr>
        <w:t xml:space="preserve">diff_hom_stab / sqrt(3)</w:t>
      </w:r>
      <w:r>
        <w:t xml:space="preserve">. La</w:t>
      </w:r>
      <w:r>
        <w:t xml:space="preserve"> </w:t>
      </w:r>
      <w:r>
        <w:t xml:space="preserve">elección completa del método y de las contribuciones debe quedar registrada</w:t>
      </w:r>
      <w:r>
        <w:t xml:space="preserve"> </w:t>
      </w:r>
      <w:r>
        <w:t xml:space="preserve">antes de calcular E04.</w:t>
      </w:r>
    </w:p>
    <w:bookmarkEnd w:id="14"/>
    <w:bookmarkStart w:id="15" w:name="cómo-interpretar-y-reproducir"/>
    <w:p>
      <w:pPr>
        <w:pStyle w:val="Heading2"/>
      </w:pPr>
      <w:r>
        <w:t xml:space="preserve">Cómo interpretar y reproducir</w:t>
      </w:r>
    </w:p>
    <w:p>
      <w:pPr>
        <w:pStyle w:val="Compact"/>
        <w:numPr>
          <w:ilvl w:val="0"/>
          <w:numId w:val="1001"/>
        </w:numPr>
      </w:pPr>
      <w:r>
        <w:t xml:space="preserve">Ejecute el código desde la raíz con</w:t>
      </w:r>
      <w:r>
        <w:t xml:space="preserve"> </w:t>
      </w:r>
      <w:r>
        <w:rPr>
          <w:rStyle w:val="VerbatimChar"/>
        </w:rPr>
        <w:t xml:space="preserve">devtools::load_all("ptcalc")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Compare con precisión completa (</w:t>
      </w:r>
      <w:r>
        <w:rPr>
          <w:rStyle w:val="VerbatimChar"/>
        </w:rPr>
        <w:t xml:space="preserve">all.equal</w:t>
      </w:r>
      <w:r>
        <w:t xml:space="preserve"> </w:t>
      </w:r>
      <w:r>
        <w:t xml:space="preserve">o tolerancia explícita).</w:t>
      </w:r>
    </w:p>
    <w:p>
      <w:pPr>
        <w:pStyle w:val="Compact"/>
        <w:numPr>
          <w:ilvl w:val="0"/>
          <w:numId w:val="1001"/>
        </w:numPr>
      </w:pPr>
      <w:r>
        <w:t xml:space="preserve">Redondee únicamente al presentar y conserve la unidad en cada tabla.</w:t>
      </w:r>
    </w:p>
    <w:p>
      <w:pPr>
        <w:pStyle w:val="Compact"/>
        <w:numPr>
          <w:ilvl w:val="0"/>
          <w:numId w:val="1001"/>
        </w:numPr>
      </w:pPr>
      <w:r>
        <w:t xml:space="preserve">Si una entrada es insuficiente o un denominador no es válido, no fuerce un</w:t>
      </w:r>
      <w:r>
        <w:t xml:space="preserve"> </w:t>
      </w:r>
      <w:r>
        <w:t xml:space="preserve">número: las funciones retornan un error estructurado 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según el caso.</w:t>
      </w:r>
    </w:p>
    <w:bookmarkEnd w:id="15"/>
    <w:bookmarkStart w:id="19" w:name="evidencia-y-referencias"/>
    <w:p>
      <w:pPr>
        <w:pStyle w:val="Heading2"/>
      </w:pPr>
      <w:r>
        <w:t xml:space="preserve">Evidencia y referencias</w:t>
      </w:r>
    </w:p>
    <w:p>
      <w:pPr>
        <w:pStyle w:val="CaptionedFigure"/>
      </w:pPr>
      <w:r>
        <w:drawing>
          <wp:inline>
            <wp:extent cx="5334000" cy="10819870"/>
            <wp:effectExtent b="0" l="0" r="0" t="0"/>
            <wp:docPr descr="CAP-05. Resultado de homogeneidad." title="" id="17" name="Picture"/>
            <a:graphic>
              <a:graphicData uri="http://schemas.openxmlformats.org/drawingml/2006/picture">
                <pic:pic>
                  <pic:nvPicPr>
                    <pic:cNvPr descr="../../00_evidencia_visual/capturas/CAP-05_homogeneidad_result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19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CAP-05. Resultado de homogeneidad.</w:t>
      </w:r>
    </w:p>
    <w:p>
      <w:pPr>
        <w:pStyle w:val="BodyText"/>
      </w:pPr>
      <w:r>
        <w:rPr>
          <w:b/>
          <w:bCs/>
        </w:rPr>
        <w:t xml:space="preserve">Figura CAP-05.</w:t>
      </w:r>
      <w:r>
        <w:t xml:space="preserve"> </w:t>
      </w:r>
      <w:r>
        <w:t xml:space="preserve">Resultado en la interfaz vigente. CAP-06 a CAP-11 documentan</w:t>
      </w:r>
      <w:r>
        <w:t xml:space="preserve"> </w:t>
      </w:r>
      <w:r>
        <w:t xml:space="preserve">estabilidad, incertidumbre, atípicos, Algoritmo A, consenso y compatibilidad;</w:t>
      </w:r>
      <w:r>
        <w:t xml:space="preserve"> </w:t>
      </w:r>
      <w:r>
        <w:t xml:space="preserve">véase</w:t>
      </w:r>
      <w:r>
        <w:t xml:space="preserve"> </w:t>
      </w:r>
      <w:r>
        <w:rPr>
          <w:rStyle w:val="VerbatimChar"/>
        </w:rPr>
        <w:t xml:space="preserve">../../00_evidencia_visual/indice_capturas.md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Código:</w:t>
      </w:r>
      <w:r>
        <w:t xml:space="preserve"> </w:t>
      </w:r>
      <w:r>
        <w:rPr>
          <w:rStyle w:val="VerbatimChar"/>
        </w:rPr>
        <w:t xml:space="preserve">ptcalc/R/pt_homogeneity.R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ptcalc/R/pt_robust_stats.R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Estado exacto del repositorio anidado usado para calcular:</w:t>
      </w:r>
      <w:r>
        <w:t xml:space="preserve"> </w:t>
      </w:r>
      <w:r>
        <w:rPr>
          <w:rStyle w:val="VerbatimChar"/>
        </w:rPr>
        <w:t xml:space="preserve">../../00_linea_base/estado_ptcalc_fase4.md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Prueba documental:</w:t>
      </w:r>
      <w:r>
        <w:t xml:space="preserve"> </w:t>
      </w:r>
      <w:r>
        <w:rPr>
          <w:rStyle w:val="VerbatimChar"/>
        </w:rPr>
        <w:t xml:space="preserve">tests/testthat/test-entregables-fase-4.R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Referencia declarada por el código: ISO 13528:2022, secciones 9.2–9.4 y anexo C.</w:t>
      </w:r>
    </w:p>
    <w:p>
      <w:pPr>
        <w:pStyle w:val="Compact"/>
        <w:numPr>
          <w:ilvl w:val="0"/>
          <w:numId w:val="1002"/>
        </w:numPr>
      </w:pPr>
      <w:r>
        <w:t xml:space="preserve">Este documento evidencia coincidencia con la implementación; no sustituye una</w:t>
      </w:r>
      <w:r>
        <w:t xml:space="preserve"> </w:t>
      </w:r>
      <w:r>
        <w:t xml:space="preserve">revisión normativa independiente ni certifica conformidad por sí solo.</w:t>
      </w:r>
    </w:p>
    <w:bookmarkEnd w:id="19"/>
    <w:bookmarkStart w:id="20" w:name="historial-de-cambios"/>
    <w:p>
      <w:pPr>
        <w:pStyle w:val="Heading2"/>
      </w:pPr>
      <w:r>
        <w:t xml:space="preserve">Historial de cambios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  <w:tc>
          <w:tcPr/>
          <w:p>
            <w:pPr>
              <w:pStyle w:val="Compact"/>
            </w:pPr>
            <w:r>
              <w:t xml:space="preserve">Ejemplo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Datos sintéticos reproducibles, código vigente, precisión y límites explícitos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2026-07-14T19:11:58Z</dcterms:created>
  <dcterms:modified xsi:type="dcterms:W3CDTF">2026-07-14T19:11:58Z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