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 Técnico — Entregable 04: Módulo de Cálculo de Puntajes</w:t>
      </w:r>
    </w:p>
    <w:p>
      <w:pPr>
        <w:pStyle w:val="Subtitle"/>
      </w:pPr>
      <w:r>
        <w:t xml:space="preserve">Aplicativo PT App — Ensayos de Aptitud per ISO 13528:2022 e ISO 17043:2023</w:t>
      </w:r>
    </w:p>
    <w:p>
      <w:pPr>
        <w:pStyle w:val="Author"/>
      </w:pPr>
      <w:r>
        <w:t xml:space="preserve">Universidad Nacional de Colombia / Instituto Nacional de Metrología</w:t>
      </w:r>
    </w:p>
    <w:p>
      <w:pPr>
        <w:pStyle w:val="Date"/>
      </w:pPr>
      <w:r>
        <w:t xml:space="preserve">2026-06-28</w:t>
      </w:r>
    </w:p>
    <w:bookmarkStart w:id="9" w:name="portada"/>
    <w:p>
      <w:pPr>
        <w:pStyle w:val="Heading1"/>
      </w:pPr>
      <w:r>
        <w:t xml:space="preserve">Portada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Documento Técnico — Entregable 04: Módulo de Cálculo de Puntajes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PT App — Aplicativo R/Shiny para ensayos de aptitud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Universidad Nacional de Colombia / Instituto Nacional de Metrología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 de referencia</w:t>
            </w:r>
          </w:p>
        </w:tc>
        <w:tc>
          <w:tcPr/>
          <w:p>
            <w:pPr>
              <w:pStyle w:val="Compact"/>
            </w:pPr>
            <w:r>
              <w:t xml:space="preserve">ISO 13528:2022 (Sección 10); ISO 17043:2023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documental</w:t>
            </w:r>
          </w:p>
        </w:tc>
        <w:tc>
          <w:tcPr/>
          <w:p>
            <w:pPr>
              <w:pStyle w:val="Compact"/>
            </w:pPr>
            <w:r>
              <w:t xml:space="preserve">Subagente</w:t>
            </w:r>
            <w:r>
              <w:t xml:space="preserve"> </w:t>
            </w:r>
            <w:r>
              <w:rPr>
                <w:rStyle w:val="VerbatimChar"/>
              </w:rPr>
              <w:t xml:space="preserve">entregable_04_scoring_documenter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documental</w:t>
            </w:r>
          </w:p>
        </w:tc>
        <w:tc>
          <w:tcPr/>
          <w:p>
            <w:pPr>
              <w:pStyle w:val="Compact"/>
            </w:pPr>
            <w:r>
              <w:t xml:space="preserve">Histórico / parcialmente vigente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de desarrollo</w:t>
            </w:r>
          </w:p>
        </w:tc>
        <w:tc>
          <w:tcPr/>
          <w:p>
            <w:pPr>
              <w:pStyle w:val="Compact"/>
            </w:pPr>
            <w:r>
              <w:t xml:space="preserve">Fase 2 — Cálculos Standalone</w:t>
            </w:r>
          </w:p>
        </w:tc>
      </w:tr>
    </w:tbl>
    <w:bookmarkEnd w:id="9"/>
    <w:bookmarkStart w:id="10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El presente documento describe el Entregable 04 del proyecto PT App, correspondiente al</w:t>
      </w:r>
      <w:r>
        <w:t xml:space="preserve"> </w:t>
      </w:r>
      <w:r>
        <w:rPr>
          <w:b/>
          <w:bCs/>
        </w:rPr>
        <w:t xml:space="preserve">Módulo de Cálculo de Puntajes</w:t>
      </w:r>
      <w:r>
        <w:t xml:space="preserve">. Este módulo implementa las fórmulas estadísticas mediante las cuales el aplicativo evalúa el desempeño de los laboratorios participantes en un ensayo de aptitud (proficiency testing, PT).</w:t>
      </w:r>
    </w:p>
    <w:p>
      <w:pPr>
        <w:pStyle w:val="BodyText"/>
      </w:pPr>
      <w:r>
        <w:t xml:space="preserve">La evaluación de desempeño constituye la etapa culminante del análisis PT: una vez determinados el valor asignado (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 y la desviación estándar para evaluación de aptitud (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), el aplicativo calcula cuatro indicadores para cada participante: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Puntaje z</w:t>
      </w:r>
      <w:r>
        <w:t xml:space="preserve"> </w:t>
      </w:r>
      <w:r>
        <w:t xml:space="preserve">— puntaje estándar que mide la desviación del resultado del participante respecto al valor asignado, en unidades de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Puntaje z’ (z-prima)</w:t>
      </w:r>
      <w:r>
        <w:t xml:space="preserve"> </w:t>
      </w:r>
      <w:r>
        <w:t xml:space="preserve">— variante del puntaje z que incorpora la incertidumbre del valor asignado en el denominador.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Puntaje</w:t>
      </w:r>
      <w:r>
        <w:rPr>
          <w:b/>
          <w:bCs/>
        </w:rPr>
        <w:t xml:space="preserve"> </w:t>
      </w:r>
      <m:oMath>
        <m:r>
          <m:t>ζ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(zeta)</w:t>
      </w:r>
      <w:r>
        <w:t xml:space="preserve"> </w:t>
      </w:r>
      <w:r>
        <w:t xml:space="preserve">— indicador de compatibilidad metrológica que usa las incertidumbres estándar tanto del participante como del valor asignado.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Puntaje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(número de error normalizado)</w:t>
      </w:r>
      <w:r>
        <w:t xml:space="preserve"> </w:t>
      </w:r>
      <w:r>
        <w:t xml:space="preserve">— indicador que emplea las incertidumbres expandidas (factor de cobertura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 del participante y del valor asignado.</w:t>
      </w:r>
    </w:p>
    <w:p>
      <w:pPr>
        <w:pStyle w:val="FirstParagraph"/>
      </w:pPr>
      <w:r>
        <w:t xml:space="preserve">Cada puntaje se clasifica en una categoría cualitativa —</w:t>
      </w:r>
      <w:r>
        <w:t xml:space="preserve"> </w:t>
      </w:r>
      <w:r>
        <w:rPr>
          <w:b/>
          <w:bCs/>
        </w:rPr>
        <w:t xml:space="preserve">Satisfactorio</w:t>
      </w:r>
      <w:r>
        <w:t xml:space="preserve">,</w:t>
      </w:r>
      <w:r>
        <w:t xml:space="preserve"> </w:t>
      </w:r>
      <w:r>
        <w:rPr>
          <w:b/>
          <w:bCs/>
        </w:rPr>
        <w:t xml:space="preserve">Cuestionable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No satisfactorio</w:t>
      </w:r>
      <w:r>
        <w:t xml:space="preserve"> </w:t>
      </w:r>
      <w:r>
        <w:t xml:space="preserve">(para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ζ</m:t>
        </m:r>
      </m:oMath>
      <w:r>
        <w:t xml:space="preserve">), o bien Satisfactorio / No satisfactorio (para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) — conforme a los umbrales definidos en la Sección 10 de ISO 13528:2022.</w:t>
      </w:r>
    </w:p>
    <w:p>
      <w:pPr>
        <w:pStyle w:val="BodyText"/>
      </w:pPr>
      <w:r>
        <w:t xml:space="preserve">El módulo fue originalmente desarrollado como un conjunto de scripts</w:t>
      </w:r>
      <w:r>
        <w:t xml:space="preserve"> </w:t>
      </w:r>
      <w:r>
        <w:rPr>
          <w:i/>
          <w:iCs/>
        </w:rPr>
        <w:t xml:space="preserve">standalone</w:t>
      </w:r>
      <w:r>
        <w:t xml:space="preserve"> </w:t>
      </w:r>
      <w:r>
        <w:t xml:space="preserve">en R (</w:t>
      </w:r>
      <w:r>
        <w:rPr>
          <w:rStyle w:val="VerbatimChar"/>
        </w:rPr>
        <w:t xml:space="preserve">calcula_puntajes.R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crea_reporte.R</w:t>
      </w:r>
      <w:r>
        <w:t xml:space="preserve">) con suite de pruebas automatizadas. En la arquitectura vigente del aplicativo, las fórmulas base han sido consolidadas en el paquete de cálculo</w:t>
      </w:r>
      <w:r>
        <w:t xml:space="preserve"> </w:t>
      </w:r>
      <w:r>
        <w:rPr>
          <w:rStyle w:val="VerbatimChar"/>
        </w:rPr>
        <w:t xml:space="preserve">ptcalc/R/pt_scores.R</w:t>
      </w:r>
      <w:r>
        <w:t xml:space="preserve">, mientras que parte del flujo de visualización y generación de reportes reside directamente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. Por ello, el entregable se cataloga como</w:t>
      </w:r>
      <w:r>
        <w:t xml:space="preserve"> </w:t>
      </w:r>
      <w:r>
        <w:rPr>
          <w:b/>
          <w:bCs/>
        </w:rPr>
        <w:t xml:space="preserve">histórico / parcialmente vigente</w:t>
      </w:r>
      <w:r>
        <w:t xml:space="preserve">: el contenido sigue siendo útil como referencia conceptual y trazabilidad normativa, pero no representa por sí solo la totalidad del flujo activo.</w:t>
      </w:r>
    </w:p>
    <w:p>
      <w:pPr>
        <w:pStyle w:val="BodyText"/>
      </w:pPr>
      <w:r>
        <w:t xml:space="preserve">Este documento está dirigido a lectores institucionales — coordinadores de PT, auditores y personal técnico — que requieren comprender qué mide cada puntaje y cómo se interpreta, sin necesidad de recorrer las derivaciones matemáticas extensas, las cuales se mantienen en el anexo técnico</w:t>
      </w:r>
      <w:r>
        <w:t xml:space="preserve"> </w:t>
      </w:r>
      <w:r>
        <w:rPr>
          <w:rStyle w:val="VerbatimChar"/>
        </w:rPr>
        <w:t xml:space="preserve">formulas_y_ejemplos.docx</w:t>
      </w:r>
      <w:r>
        <w:t xml:space="preserve">.</w:t>
      </w:r>
    </w:p>
    <w:bookmarkEnd w:id="10"/>
    <w:bookmarkStart w:id="11" w:name="contexto-del-entregable"/>
    <w:p>
      <w:pPr>
        <w:pStyle w:val="Heading1"/>
      </w:pPr>
      <w:r>
        <w:t xml:space="preserve">Contexto del Entregable</w:t>
      </w:r>
    </w:p>
    <w:p>
      <w:pPr>
        <w:pStyle w:val="FirstParagraph"/>
      </w:pPr>
      <w:r>
        <w:t xml:space="preserve">El Entregable 04 se desarrolló durante la</w:t>
      </w:r>
      <w:r>
        <w:t xml:space="preserve"> </w:t>
      </w:r>
      <w:r>
        <w:rPr>
          <w:b/>
          <w:bCs/>
        </w:rPr>
        <w:t xml:space="preserve">Fase 2: Cálculos Standalone</w:t>
      </w:r>
      <w:r>
        <w:t xml:space="preserve"> </w:t>
      </w:r>
      <w:r>
        <w:t xml:space="preserve">del proyecto PT App. Esta fase se caracterizó por la implementación de funciones estadísticas independientes — es decir, sin dependencias de la interfaz Shiny — que permitieran validar la corrección de los cálculos de manera aislada antes de su integración en el aplicativo interactivo.</w:t>
      </w:r>
    </w:p>
    <w:p>
      <w:pPr>
        <w:pStyle w:val="BodyText"/>
      </w:pPr>
      <w:r>
        <w:t xml:space="preserve">Dentro de la secuencia de entregables, el módulo de puntajes depende lógicamente del Entregable 03 (Cálculos PT), el cual provee el valor asignado (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 y la desviación estándar para evaluación de aptitud (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 mediante algoritmos robustos (Algoritmo A y Algoritmo S de ISO 13528:2022, Sección 9). Los puntajes descritos aquí consumen esos insumos y producen las evaluaciones cualitativas que el usuario final consume en los reportes y visualizaciones.</w:t>
      </w:r>
    </w:p>
    <w:p>
      <w:pPr>
        <w:pStyle w:val="BodyText"/>
      </w:pPr>
      <w:r>
        <w:t xml:space="preserve">El subagente designado para el desarrollo fue</w:t>
      </w:r>
      <w:r>
        <w:t xml:space="preserve"> </w:t>
      </w:r>
      <w:r>
        <w:rPr>
          <w:rStyle w:val="VerbatimChar"/>
        </w:rPr>
        <w:t xml:space="preserve">score_auditor</w:t>
      </w:r>
      <w:r>
        <w:t xml:space="preserve"> </w:t>
      </w:r>
      <w:r>
        <w:t xml:space="preserve">(</w:t>
      </w:r>
      <w:r>
        <w:rPr>
          <w:i/>
          <w:iCs/>
        </w:rPr>
        <w:t xml:space="preserve">Scoring Auditor &amp; Report Engine Developer</w:t>
      </w:r>
      <w:r>
        <w:t xml:space="preserve">), con la responsabilidad de validar la coincidencia con la Sección 10 de ISO 13528:2022 y asegurar la correcta asignación de las clasificaciones cualitativas de desempeño. Posteriormente, en la actualización documental de 2026-06-16, el subagente</w:t>
      </w:r>
      <w:r>
        <w:t xml:space="preserve"> </w:t>
      </w:r>
      <w:r>
        <w:rPr>
          <w:rStyle w:val="VerbatimChar"/>
        </w:rPr>
        <w:t xml:space="preserve">entregable_04_scoring_documenter</w:t>
      </w:r>
      <w:r>
        <w:t xml:space="preserve"> </w:t>
      </w:r>
      <w:r>
        <w:t xml:space="preserve">asumió la revisión de trazabilidad y consistencia del material documental.</w:t>
      </w:r>
    </w:p>
    <w:bookmarkEnd w:id="11"/>
    <w:bookmarkStart w:id="12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El alcance del Entregable 04 comprende: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Cálculo</w:t>
      </w:r>
      <w:r>
        <w:t xml:space="preserve"> </w:t>
      </w:r>
      <w:r>
        <w:t xml:space="preserve">de los cuatro puntajes de aptitud (</w:t>
      </w:r>
      <m:oMath>
        <m:r>
          <m:t>z</m:t>
        </m:r>
      </m:oMath>
      <w:r>
        <w:t xml:space="preserve">,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m:oMath>
        <m:r>
          <m:t>ζ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) para cada combinación participante–contaminante–nivel.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Clasificación cualitativa</w:t>
      </w:r>
      <w:r>
        <w:t xml:space="preserve"> </w:t>
      </w:r>
      <w:r>
        <w:t xml:space="preserve">de cada puntaje según los umbrales normativos.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Generación de reportes</w:t>
      </w:r>
      <w:r>
        <w:t xml:space="preserve"> </w:t>
      </w:r>
      <w:r>
        <w:t xml:space="preserve">estructurados: tabla completa de puntajes, resumen por participante y estadísticas globales del esquema 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Verificación automatizada</w:t>
      </w:r>
      <w:r>
        <w:t xml:space="preserve"> </w:t>
      </w:r>
      <w:r>
        <w:t xml:space="preserve">mediante suite de pruebas unitarias que validan el cálculo numérico y la clasificación.</w:t>
      </w:r>
    </w:p>
    <w:p>
      <w:pPr>
        <w:pStyle w:val="FirstParagraph"/>
      </w:pPr>
      <w:r>
        <w:rPr>
          <w:b/>
          <w:bCs/>
        </w:rPr>
        <w:t xml:space="preserve">Quedan fuera del alcance:</w:t>
      </w:r>
    </w:p>
    <w:p>
      <w:pPr>
        <w:pStyle w:val="Compact"/>
        <w:numPr>
          <w:ilvl w:val="0"/>
          <w:numId w:val="1003"/>
        </w:numPr>
      </w:pPr>
      <w:r>
        <w:t xml:space="preserve">La determinación del valor asignado y de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(Entregable 03).</w:t>
      </w:r>
    </w:p>
    <w:p>
      <w:pPr>
        <w:pStyle w:val="Compact"/>
        <w:numPr>
          <w:ilvl w:val="0"/>
          <w:numId w:val="1003"/>
        </w:numPr>
      </w:pPr>
      <w:r>
        <w:t xml:space="preserve">La interfaz de usuario y las visualizaciones interactivas (Entregables 05 y 07).</w:t>
      </w:r>
    </w:p>
    <w:p>
      <w:pPr>
        <w:pStyle w:val="Compact"/>
        <w:numPr>
          <w:ilvl w:val="0"/>
          <w:numId w:val="1003"/>
        </w:numPr>
      </w:pPr>
      <w:r>
        <w:t xml:space="preserve">La lógica reactiva de la aplicación Shiny (Entregable 06 /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vigente).</w:t>
      </w:r>
    </w:p>
    <w:p>
      <w:pPr>
        <w:pStyle w:val="Compact"/>
        <w:numPr>
          <w:ilvl w:val="0"/>
          <w:numId w:val="1003"/>
        </w:numPr>
      </w:pPr>
      <w:r>
        <w:t xml:space="preserve">La integración final con 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, que constituye el estado vigente de las fórmulas base.</w:t>
      </w:r>
    </w:p>
    <w:bookmarkEnd w:id="12"/>
    <w:bookmarkStart w:id="13" w:name="contenido-entregado"/>
    <w:p>
      <w:pPr>
        <w:pStyle w:val="Heading1"/>
      </w:pPr>
      <w:r>
        <w:t xml:space="preserve">Contenido Entregado</w:t>
      </w:r>
    </w:p>
    <w:p>
      <w:pPr>
        <w:pStyle w:val="FirstParagraph"/>
      </w:pPr>
      <w:r>
        <w:t xml:space="preserve">Los artefactos que componen el Entregable 04 se listan a continuación: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R/calcula_puntajes.R</w:t>
            </w:r>
          </w:p>
        </w:tc>
        <w:tc>
          <w:tcPr/>
          <w:p>
            <w:pPr>
              <w:pStyle w:val="Compact"/>
            </w:pPr>
            <w:r>
              <w:t xml:space="preserve">Script R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  <w:r>
              <w:t xml:space="preserve"> </w:t>
            </w:r>
            <w:r>
              <w:rPr>
                <w:i/>
                <w:iCs/>
              </w:rPr>
              <w:t xml:space="preserve">standalone</w:t>
            </w:r>
            <w:r>
              <w:t xml:space="preserve"> </w:t>
            </w:r>
            <w:r>
              <w:t xml:space="preserve">de las fórmulas de puntajes (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ζ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), funciones de evaluación cualitativa, cálculo por participante, cálculo global, resúmenes y estadísticas.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R/crea_reporte.R</w:t>
            </w:r>
          </w:p>
        </w:tc>
        <w:tc>
          <w:tcPr/>
          <w:p>
            <w:pPr>
              <w:pStyle w:val="Compact"/>
            </w:pPr>
            <w:r>
              <w:t xml:space="preserve">Script R</w:t>
            </w:r>
          </w:p>
        </w:tc>
        <w:tc>
          <w:tcPr/>
          <w:p>
            <w:pPr>
              <w:pStyle w:val="Compact"/>
            </w:pPr>
            <w:r>
              <w:t xml:space="preserve">Estructuración del reporte PT: generación de tabla completa de puntajes, resumen por participante, estadísticas globales y flujo end-to-end con cálculo previo de valor asignado y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md/formulas_y_ejemplos.md</w:t>
            </w:r>
          </w:p>
        </w:tc>
        <w:tc>
          <w:tcPr/>
          <w:p>
            <w:pPr>
              <w:pStyle w:val="Compact"/>
            </w:pPr>
            <w:r>
              <w:t xml:space="preserve">Documento técnico (Markdown)</w:t>
            </w:r>
          </w:p>
        </w:tc>
        <w:tc>
          <w:tcPr/>
          <w:p>
            <w:pPr>
              <w:pStyle w:val="Compact"/>
            </w:pPr>
            <w:r>
              <w:t xml:space="preserve">Recopilación de ecuaciones, criterios de evaluación y ejemplos numéricos para cada tipo de puntaje.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formulas_y_ejemplos.docx</w:t>
            </w:r>
          </w:p>
        </w:tc>
        <w:tc>
          <w:tcPr/>
          <w:p>
            <w:pPr>
              <w:pStyle w:val="Compact"/>
            </w:pPr>
            <w:r>
              <w:t xml:space="preserve">Documento técnico (Word)</w:t>
            </w:r>
          </w:p>
        </w:tc>
        <w:tc>
          <w:tcPr/>
          <w:p>
            <w:pPr>
              <w:pStyle w:val="Compact"/>
            </w:pPr>
            <w:r>
              <w:t xml:space="preserve">Versión exportada del documento anterior mediante pandoc, apta para distribución institucional.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tests/test_04_puntajes.R</w:t>
            </w:r>
          </w:p>
        </w:tc>
        <w:tc>
          <w:tcPr/>
          <w:p>
            <w:pPr>
              <w:pStyle w:val="Compact"/>
            </w:pPr>
            <w:r>
              <w:t xml:space="preserve">Suite de pruebas (R)</w:t>
            </w:r>
          </w:p>
        </w:tc>
        <w:tc>
          <w:tcPr/>
          <w:p>
            <w:pPr>
              <w:pStyle w:val="Compact"/>
            </w:pPr>
            <w:r>
              <w:t xml:space="preserve">Pruebas unitarias que verifican cálculo numérico correcto, manejo de casos límite, clasificación cualitativa y generación de reportes.</w:t>
            </w:r>
          </w:p>
        </w:tc>
      </w:tr>
    </w:tbl>
    <w:bookmarkEnd w:id="13"/>
    <w:bookmarkStart w:id="21" w:name="explicación-funcional"/>
    <w:p>
      <w:pPr>
        <w:pStyle w:val="Heading1"/>
      </w:pPr>
      <w:r>
        <w:t xml:space="preserve">Explicación Funcional</w:t>
      </w:r>
    </w:p>
    <w:bookmarkStart w:id="14" w:name="qué-significa-evaluar-el-desempeño"/>
    <w:p>
      <w:pPr>
        <w:pStyle w:val="Heading2"/>
      </w:pPr>
      <w:r>
        <w:t xml:space="preserve">¿Qué significa evaluar el desempeño?</w:t>
      </w:r>
    </w:p>
    <w:p>
      <w:pPr>
        <w:pStyle w:val="FirstParagraph"/>
      </w:pPr>
      <w:r>
        <w:t xml:space="preserve">En un ensayo de aptitud, cada laboratorio participante reporta un resultado para una magnitud o analito en un material de referencia. El organizador del esquema PT determina un</w:t>
      </w:r>
      <w:r>
        <w:t xml:space="preserve"> </w:t>
      </w:r>
      <w:r>
        <w:rPr>
          <w:b/>
          <w:bCs/>
        </w:rPr>
        <w:t xml:space="preserve">valor asignado</w:t>
      </w:r>
      <w:r>
        <w:t xml:space="preserve"> </w:t>
      </w:r>
      <w:r>
        <w:t xml:space="preserve">(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 — el valor de consenso considerado como referencia — y una</w:t>
      </w:r>
      <w:r>
        <w:t xml:space="preserve"> </w:t>
      </w:r>
      <w:r>
        <w:rPr>
          <w:b/>
          <w:bCs/>
        </w:rPr>
        <w:t xml:space="preserve">desviación estándar para evaluación de aptitud</w:t>
      </w:r>
      <w:r>
        <w:t xml:space="preserve"> </w:t>
      </w:r>
      <w:r>
        <w:t xml:space="preserve">(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), que define el margen de variación aceptable.</w:t>
      </w:r>
    </w:p>
    <w:p>
      <w:pPr>
        <w:pStyle w:val="BodyText"/>
      </w:pPr>
      <w:r>
        <w:t xml:space="preserve">Evaluar el desempeño consiste en contestar una pregunta simple pero crítica:</w:t>
      </w:r>
      <w:r>
        <w:t xml:space="preserve"> </w:t>
      </w:r>
      <w:r>
        <w:rPr>
          <w:b/>
          <w:bCs/>
        </w:rPr>
        <w:t xml:space="preserve">¿qué tan lejos está el resultado del participante del valor de referencia, y esa diferencia es aceptable en términos estadísticos?</w:t>
      </w:r>
    </w:p>
    <w:p>
      <w:pPr>
        <w:pStyle w:val="BodyText"/>
      </w:pPr>
      <w:r>
        <w:t xml:space="preserve">Los cuatro puntajes son indicadores que responden esta pregunta desde perspectivas complementarias.</w:t>
      </w:r>
    </w:p>
    <w:bookmarkEnd w:id="14"/>
    <w:bookmarkStart w:id="20" w:name="cálculo-por-participante-y-nivel"/>
    <w:p>
      <w:pPr>
        <w:pStyle w:val="Heading2"/>
      </w:pPr>
      <w:r>
        <w:t xml:space="preserve">Cálculo por participante y nivel</w:t>
      </w:r>
    </w:p>
    <w:p>
      <w:pPr>
        <w:pStyle w:val="FirstParagraph"/>
      </w:pPr>
      <w:r>
        <w:t xml:space="preserve">El módulo calcula los cuatro puntajes para cada combinación participante–contaminante–nivel, si las incertidumbres necesarias están disponibles. Cuando no se reporta incertidumbre por parte del participante o del organizador, los puntajes que dependen de ella (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requiere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;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requiere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requiere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) se asignan como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y se etiquetan como</w:t>
      </w:r>
      <w:r>
        <w:t xml:space="preserve"> </w:t>
      </w:r>
      <w:r>
        <w:rPr>
          <w:rStyle w:val="VerbatimChar"/>
        </w:rPr>
        <w:t xml:space="preserve">"N/A"</w:t>
      </w:r>
      <w:r>
        <w:t xml:space="preserve">.</w:t>
      </w:r>
    </w:p>
    <w:bookmarkStart w:id="15" w:name="puntaje-z-desempeño-estándar"/>
    <w:p>
      <w:pPr>
        <w:pStyle w:val="Heading3"/>
      </w:pPr>
      <w:r>
        <w:t xml:space="preserve">Puntaje z — Desempeño estándar</w:t>
      </w:r>
    </w:p>
    <w:p>
      <w:pPr>
        <w:pStyle w:val="FirstParagraph"/>
      </w:pPr>
      <w:r>
        <w:t xml:space="preserve">El puntaje z expresa cuántas desviaciones estándar (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 separan el resultado del participante del valor asignado. Es el indicador más usado en PT cuando se conoce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y la incertidumbre del valor asignado no es significativa.</w:t>
      </w:r>
    </w:p>
    <w:bookmarkEnd w:id="15"/>
    <w:bookmarkStart w:id="16" w:name="X650fbf75d954904f3e1ad53cefc9b45a2fcc978"/>
    <w:p>
      <w:pPr>
        <w:pStyle w:val="Heading3"/>
      </w:pPr>
      <w:r>
        <w:t xml:space="preserve">Puntaje z’ — Desempeño con corrección por incertidumbre del valor asignado</w:t>
      </w:r>
    </w:p>
    <w:p>
      <w:pPr>
        <w:pStyle w:val="FirstParagraph"/>
      </w:pPr>
      <w:r>
        <w:t xml:space="preserve">El puntaje z’ es una variante que amplía el denominador incorporando la incertidumbre estándar del valor asignado (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). Se emplea cuando la incertidumbre del valor de referencia no es despreciable frente a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.</w:t>
      </w:r>
    </w:p>
    <w:bookmarkEnd w:id="16"/>
    <w:bookmarkStart w:id="17" w:name="Xf0695637cdb417e7f2d988b26c3d87e97e875cf"/>
    <w:p>
      <w:pPr>
        <w:pStyle w:val="Heading3"/>
      </w:pPr>
      <w:r>
        <w:t xml:space="preserve">Puntaje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(zeta) — Compatibilidad metrológica</w:t>
      </w:r>
    </w:p>
    <w:p>
      <w:pPr>
        <w:pStyle w:val="FirstParagraph"/>
      </w:pPr>
      <w:r>
        <w:t xml:space="preserve">El puntaje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reemplaza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por la combinación de las incertidumbres estándar del participante (</w:t>
      </w:r>
      <m:oMath>
        <m:sSub>
          <m:e>
            <m:r>
              <m:t>u</m:t>
            </m:r>
          </m:e>
          <m:sub>
            <m:r>
              <m:t>x</m:t>
            </m:r>
          </m:sub>
        </m:sSub>
      </m:oMath>
      <w:r>
        <w:t xml:space="preserve">) y del valor asignado (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). Evalúa la compatibilidad metrológica entre el resultado y el valor de referencia, y es útil cuando los laboratorios reportan incertidumbre.</w:t>
      </w:r>
    </w:p>
    <w:bookmarkEnd w:id="17"/>
    <w:bookmarkStart w:id="18" w:name="puntaje-e_n-número-de-error-normalizado"/>
    <w:p>
      <w:pPr>
        <w:pStyle w:val="Heading3"/>
      </w:pPr>
      <w:r>
        <w:t xml:space="preserve">Puntaje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Número de error normalizado</w:t>
      </w:r>
    </w:p>
    <w:p>
      <w:pPr>
        <w:pStyle w:val="FirstParagraph"/>
      </w:pPr>
      <w:r>
        <w:t xml:space="preserve">El puntaje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es análogo a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pero emplea incertidumbres</w:t>
      </w:r>
      <w:r>
        <w:t xml:space="preserve"> </w:t>
      </w:r>
      <w:r>
        <w:rPr>
          <w:b/>
          <w:bCs/>
        </w:rPr>
        <w:t xml:space="preserve">expandidas</w:t>
      </w:r>
      <w:r>
        <w:t xml:space="preserve"> </w:t>
      </w:r>
      <w:r>
        <w:t xml:space="preserve">(con factor de cobertura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 del participante (</w:t>
      </w:r>
      <m:oMath>
        <m:sSub>
          <m:e>
            <m:r>
              <m:t>U</m:t>
            </m:r>
          </m:e>
          <m:sub>
            <m:r>
              <m:t>x</m:t>
            </m:r>
          </m:sub>
        </m:sSub>
      </m:oMath>
      <w:r>
        <w:t xml:space="preserve">) y del valor asignado (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). Es un indicador tradicionalmente usado en comparaciones metrológicas clave.</w:t>
      </w:r>
    </w:p>
    <w:bookmarkEnd w:id="18"/>
    <w:bookmarkStart w:id="19" w:name="categorías-de-evaluación"/>
    <w:p>
      <w:pPr>
        <w:pStyle w:val="Heading3"/>
      </w:pPr>
      <w:r>
        <w:t xml:space="preserve">Categorías de evaluación</w:t>
      </w:r>
    </w:p>
    <w:p>
      <w:pPr>
        <w:pStyle w:val="FirstParagraph"/>
      </w:pPr>
      <w:r>
        <w:t xml:space="preserve">La norma ISO 13528:2022 (Sección 10) define los siguientes umbrales: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4"/>
        <w:gridCol w:w="860"/>
        <w:gridCol w:w="2066"/>
        <w:gridCol w:w="1980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Puntaje</w:t>
            </w:r>
          </w:p>
        </w:tc>
        <w:tc>
          <w:tcPr/>
          <w:p>
            <w:pPr>
              <w:pStyle w:val="Compact"/>
            </w:pPr>
            <w:r>
              <w:t xml:space="preserve">Qué mide</w:t>
            </w:r>
          </w:p>
        </w:tc>
        <w:tc>
          <w:tcPr/>
          <w:p>
            <w:pPr>
              <w:pStyle w:val="Compact"/>
            </w:pPr>
            <w:r>
              <w:t xml:space="preserve">Criterio Satisfactorio</w:t>
            </w:r>
          </w:p>
        </w:tc>
        <w:tc>
          <w:tcPr/>
          <w:p>
            <w:pPr>
              <w:pStyle w:val="Compact"/>
            </w:pPr>
            <w:r>
              <w:t xml:space="preserve">Criterio Cuestionable</w:t>
            </w:r>
          </w:p>
        </w:tc>
        <w:tc>
          <w:tcPr/>
          <w:p>
            <w:pPr>
              <w:pStyle w:val="Compact"/>
            </w:pPr>
            <w:r>
              <w:t xml:space="preserve">Criterio No satisfactorio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</w:pPr>
            <w:r>
              <w:t xml:space="preserve">Desviación en unidades de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Desviación con corrección por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ζ</m:t>
              </m:r>
            </m:oMath>
          </w:p>
        </w:tc>
        <w:tc>
          <w:tcPr/>
          <w:p>
            <w:pPr>
              <w:pStyle w:val="Compact"/>
            </w:pPr>
            <w:r>
              <w:t xml:space="preserve">Compatibilidad metrológica (incertidumbres estándar)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ζ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ζ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ζ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Error normalizado (incertidumbres expandidas)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Nota terminológica:</w:t>
      </w:r>
      <w:r>
        <w:t xml:space="preserve"> </w:t>
      </w:r>
      <w:r>
        <w:t xml:space="preserve">En todo el presente documento y en el material del entregable se utiliza la etiqueta</w:t>
      </w:r>
      <w:r>
        <w:t xml:space="preserve"> </w:t>
      </w:r>
      <w:r>
        <w:rPr>
          <w:b/>
          <w:bCs/>
        </w:rPr>
        <w:t xml:space="preserve">“No satisfactorio”</w:t>
      </w:r>
      <w:r>
        <w:t xml:space="preserve"> </w:t>
      </w:r>
      <w:r>
        <w:t xml:space="preserve">como categoría de desempeño, conforme a la terminología adoptada en 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y normalizada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. No se emplea el término</w:t>
      </w:r>
      <w:r>
        <w:t xml:space="preserve"> </w:t>
      </w:r>
      <w:r>
        <w:t xml:space="preserve">“Insatisfactorio”</w:t>
      </w:r>
      <w:r>
        <w:t xml:space="preserve">, que aparece ocasionalmente en literatura, para evitar ambigüedad. Donde se encuentre alguna divergencia histórica entre ambos términos, debe interpretarse como sinónimo y normalizarse a</w:t>
      </w:r>
      <w:r>
        <w:t xml:space="preserve"> </w:t>
      </w:r>
      <w:r>
        <w:rPr>
          <w:b/>
          <w:bCs/>
        </w:rPr>
        <w:t xml:space="preserve">“No satisfactorio”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Nota metodológica:</w:t>
      </w:r>
      <w:r>
        <w:t xml:space="preserve"> </w:t>
      </w:r>
      <w:r>
        <w:t xml:space="preserve">Las fórmulas matemáticas completas, incluyendo derivaciones y ejemplos numéricos paso a paso, se encuentran en el documento anexo</w:t>
      </w:r>
      <w:r>
        <w:t xml:space="preserve"> </w:t>
      </w:r>
      <w:r>
        <w:rPr>
          <w:rStyle w:val="VerbatimChar"/>
        </w:rPr>
        <w:t xml:space="preserve">formulas_y_ejemplos.docx</w:t>
      </w:r>
      <w:r>
        <w:t xml:space="preserve">. El presente documento no reproduce dichas fórmulas en su cuerpo principal, conforme al criterio de mantener una lectura ágil para el lector institucional.</w:t>
      </w:r>
    </w:p>
    <w:bookmarkEnd w:id="19"/>
    <w:bookmarkEnd w:id="20"/>
    <w:bookmarkEnd w:id="21"/>
    <w:bookmarkStart w:id="22" w:name="evidencia-de-verificación"/>
    <w:p>
      <w:pPr>
        <w:pStyle w:val="Heading1"/>
      </w:pPr>
      <w:r>
        <w:t xml:space="preserve">Evidencia de Verificación</w:t>
      </w:r>
    </w:p>
    <w:p>
      <w:pPr>
        <w:pStyle w:val="FirstParagraph"/>
      </w:pPr>
      <w:r>
        <w:t xml:space="preserve">El Entregable 04 incluye una suite de pruebas automatizadas (</w:t>
      </w:r>
      <w:r>
        <w:rPr>
          <w:rStyle w:val="VerbatimChar"/>
        </w:rPr>
        <w:t xml:space="preserve">tests/test_04_puntajes.R</w:t>
      </w:r>
      <w:r>
        <w:t xml:space="preserve">) construida sobre el framework</w:t>
      </w:r>
      <w:r>
        <w:t xml:space="preserve"> </w:t>
      </w:r>
      <w:r>
        <w:rPr>
          <w:b/>
          <w:bCs/>
        </w:rPr>
        <w:t xml:space="preserve">testthat</w:t>
      </w:r>
      <w:r>
        <w:t xml:space="preserve">. Las pruebas se ejecutan desde la raíz del proyecto mediante: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"Entregables_pt_app/04_puntajes/tests/test_04_puntajes.R"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Las pruebas verifican los siguientes aspectos: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58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 verificado</w:t>
            </w:r>
          </w:p>
        </w:tc>
        <w:tc>
          <w:tcPr/>
          <w:p>
            <w:pPr>
              <w:pStyle w:val="Compact"/>
            </w:pPr>
            <w:r>
              <w:t xml:space="preserve">Pruebas asociadas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Cálculo correcto del z-score</w:t>
            </w:r>
          </w:p>
        </w:tc>
        <w:tc>
          <w:tcPr/>
          <w:p>
            <w:pPr>
              <w:pStyle w:val="Compact"/>
            </w:pPr>
            <w:r>
              <w:t xml:space="preserve">Se suministran valores conocidos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10.5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10.0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 y se verifica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Manejo de entradas inválidas</w:t>
            </w:r>
          </w:p>
        </w:tc>
        <w:tc>
          <w:tcPr/>
          <w:p>
            <w:pPr>
              <w:pStyle w:val="Compact"/>
            </w:pPr>
            <w:r>
              <w:t xml:space="preserve">Se comprueba que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 </w:t>
            </w:r>
            <w:r>
              <w:t xml:space="preserve">produce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 Se verifica denominador cero en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Incorporación de incertidumbre en z’</w:t>
            </w:r>
          </w:p>
        </w:tc>
        <w:tc>
          <w:tcPr/>
          <w:p>
            <w:pPr>
              <w:pStyle w:val="Compact"/>
            </w:pPr>
            <w:r>
              <w:t xml:space="preserve">Se valida que</w:t>
            </w:r>
            <w: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incluya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en el denominador y produzca un valor finito cercano al esperado.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Cálculo de</w:t>
            </w:r>
            <w:r>
              <w:rPr>
                <w:b/>
                <w:bCs/>
              </w:rPr>
              <w:t xml:space="preserve"> </w:t>
            </w:r>
            <m:oMath>
              <m:r>
                <m:t>ζ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 incertidumbres estándar</w:t>
            </w:r>
          </w:p>
        </w:tc>
        <w:tc>
          <w:tcPr/>
          <w:p>
            <w:pPr>
              <w:pStyle w:val="Compact"/>
            </w:pPr>
            <w:r>
              <w:t xml:space="preserve">Se verifica el uso combinado de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y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Cálculo de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 incertidumbres expandidas</w:t>
            </w:r>
          </w:p>
        </w:tc>
        <w:tc>
          <w:tcPr/>
          <w:p>
            <w:pPr>
              <w:pStyle w:val="Compact"/>
            </w:pPr>
            <w:r>
              <w:t xml:space="preserve">Se comprueba el resultado exacto (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) para datos de prueba.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Clasificación cualitativa de z</w:t>
            </w:r>
          </w:p>
        </w:tc>
        <w:tc>
          <w:tcPr/>
          <w:p>
            <w:pPr>
              <w:pStyle w:val="Compact"/>
            </w:pPr>
            <w:r>
              <w:t xml:space="preserve">Se prueba clasificación en Satisfactorio, Cuestionable y No satisfactorio.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Clasificación cualitativa de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Se prueba clasificación en Satisfactorio y No satisfactorio.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Manejo de NA en evaluación</w:t>
            </w:r>
          </w:p>
        </w:tc>
        <w:tc>
          <w:tcPr/>
          <w:p>
            <w:pPr>
              <w:pStyle w:val="Compact"/>
            </w:pPr>
            <w:r>
              <w:t xml:space="preserve">Se verifica que valores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se etiqueten como</w:t>
            </w:r>
            <w:r>
              <w:t xml:space="preserve"> </w:t>
            </w:r>
            <w:r>
              <w:rPr>
                <w:rStyle w:val="VerbatimChar"/>
              </w:rPr>
              <w:t xml:space="preserve">"N/A"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Evaluación vectorizada</w:t>
            </w:r>
          </w:p>
        </w:tc>
        <w:tc>
          <w:tcPr/>
          <w:p>
            <w:pPr>
              <w:pStyle w:val="Compact"/>
            </w:pPr>
            <w:r>
              <w:t xml:space="preserve">Se verifica longitud y contenido de vectores evaluados.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data.frame por participante</w:t>
            </w:r>
          </w:p>
        </w:tc>
        <w:tc>
          <w:tcPr/>
          <w:p>
            <w:pPr>
              <w:pStyle w:val="Compact"/>
            </w:pPr>
            <w:r>
              <w:t xml:space="preserve">Se comprueba estructura y columnas esperadas.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Cálculo para todos los participantes</w:t>
            </w:r>
          </w:p>
        </w:tc>
        <w:tc>
          <w:tcPr/>
          <w:p>
            <w:pPr>
              <w:pStyle w:val="Compact"/>
            </w:pPr>
            <w:r>
              <w:t xml:space="preserve">Se verifica generación de puntajes finitos.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Resumen por participante</w:t>
            </w:r>
          </w:p>
        </w:tc>
        <w:tc>
          <w:tcPr/>
          <w:p>
            <w:pPr>
              <w:pStyle w:val="Compact"/>
            </w:pPr>
            <w:r>
              <w:t xml:space="preserve">Se valida conteo de observaciones y manejo de participante inexistente.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Estadísticas globales</w:t>
            </w:r>
          </w:p>
        </w:tc>
        <w:tc>
          <w:tcPr/>
          <w:p>
            <w:pPr>
              <w:pStyle w:val="Compact"/>
            </w:pPr>
            <w:r>
              <w:t xml:space="preserve">Se verifica media, desviación, máximo absoluto y porcentajes que suman 100 %.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reportes</w:t>
            </w:r>
          </w:p>
        </w:tc>
        <w:tc>
          <w:tcPr/>
          <w:p>
            <w:pPr>
              <w:pStyle w:val="Compact"/>
            </w:pPr>
            <w:r>
              <w:t xml:space="preserve">Se prueba el flujo completo: reporte de puntajes, resumen, estadísticas globales y flujo end-to-end.</w:t>
            </w:r>
          </w:p>
        </w:tc>
      </w:tr>
    </w:tbl>
    <w:p>
      <w:pPr>
        <w:pStyle w:val="BodyText"/>
      </w:pPr>
      <w:r>
        <w:t xml:space="preserve">El cubrimiento de pruebas abarca desde el cálculo numérico individual de cada puntaje hasta la generación completa del reporte integrado, incluyendo casos límite y manejo de errores.</w:t>
      </w:r>
    </w:p>
    <w:bookmarkEnd w:id="22"/>
    <w:bookmarkStart w:id="26" w:name="estado-actual"/>
    <w:p>
      <w:pPr>
        <w:pStyle w:val="Heading1"/>
      </w:pPr>
      <w:r>
        <w:t xml:space="preserve">Estado Actual</w:t>
      </w:r>
    </w:p>
    <w:p>
      <w:pPr>
        <w:pStyle w:val="FirstParagraph"/>
      </w:pPr>
      <w:r>
        <w:t xml:space="preserve">El estado documental del Entregable 04 es</w:t>
      </w:r>
      <w:r>
        <w:t xml:space="preserve"> </w:t>
      </w:r>
      <w:r>
        <w:rPr>
          <w:b/>
          <w:bCs/>
        </w:rPr>
        <w:t xml:space="preserve">histórico / parcialmente vigente</w:t>
      </w:r>
      <w:r>
        <w:t xml:space="preserve">.</w:t>
      </w:r>
    </w:p>
    <w:bookmarkStart w:id="23" w:name="implementación-vigente-de-las-fórmulas"/>
    <w:p>
      <w:pPr>
        <w:pStyle w:val="Heading3"/>
      </w:pPr>
      <w:r>
        <w:t xml:space="preserve">Implementación vigente de las fórmulas</w:t>
      </w:r>
    </w:p>
    <w:p>
      <w:pPr>
        <w:pStyle w:val="FirstParagraph"/>
      </w:pPr>
      <w:r>
        <w:t xml:space="preserve">Las fórmulas base de los cuatro puntajes se encuentran implementadas, documentadas y exportadas en 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dentro del archivo</w:t>
      </w:r>
      <w:r>
        <w:t xml:space="preserve"> </w:t>
      </w:r>
      <w:r>
        <w:rPr>
          <w:rStyle w:val="VerbatimChar"/>
        </w:rPr>
        <w:t xml:space="preserve">ptcalc/R/pt_scores.R</w:t>
      </w:r>
      <w:r>
        <w:t xml:space="preserve">. Las funciones vigentes son: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0"/>
        <w:gridCol w:w="3360"/>
        <w:gridCol w:w="1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 vigente (</w:t>
            </w:r>
            <w:r>
              <w:rPr>
                <w:rStyle w:val="VerbatimChar"/>
              </w:rPr>
              <w:t xml:space="preserve">ptcalc/R/pt_scores.R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Función histórica (</w:t>
            </w:r>
            <w:r>
              <w:rPr>
                <w:rStyle w:val="VerbatimChar"/>
              </w:rPr>
              <w:t xml:space="preserve">calcula_puntajes.R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Equivalencia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calculate_z_score()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calcular_puntaje_z()</w:t>
            </w:r>
          </w:p>
        </w:tc>
        <w:tc>
          <w:tcPr/>
          <w:p>
            <w:pPr>
              <w:pStyle w:val="Compact"/>
            </w:pPr>
            <w:r>
              <w:t xml:space="preserve">Misma fórmula y lógica de validación.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calculate_z_prime_score()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calcular_puntaje_z_prima()</w:t>
            </w:r>
          </w:p>
        </w:tc>
        <w:tc>
          <w:tcPr/>
          <w:p>
            <w:pPr>
              <w:pStyle w:val="Compact"/>
            </w:pPr>
            <w:r>
              <w:t xml:space="preserve">Misma fórmula y lógica de validación.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calculate_zeta_score()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calcular_puntaje_zeta()</w:t>
            </w:r>
          </w:p>
        </w:tc>
        <w:tc>
          <w:tcPr/>
          <w:p>
            <w:pPr>
              <w:pStyle w:val="Compact"/>
            </w:pPr>
            <w:r>
              <w:t xml:space="preserve">Misma fórmula y lógica de validación.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calculate_en_score()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calcular_puntaje_en()</w:t>
            </w:r>
          </w:p>
        </w:tc>
        <w:tc>
          <w:tcPr/>
          <w:p>
            <w:pPr>
              <w:pStyle w:val="Compact"/>
            </w:pPr>
            <w:r>
              <w:t xml:space="preserve">Misma fórmula y lógica de validación.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evaluate_z_score()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evaluate_z_score_vec()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evaluar_puntaje_z()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evaluar_puntaje_z_vec()</w:t>
            </w:r>
          </w:p>
        </w:tc>
        <w:tc>
          <w:tcPr/>
          <w:p>
            <w:pPr>
              <w:pStyle w:val="Compact"/>
            </w:pPr>
            <w:r>
              <w:t xml:space="preserve">Misma lógica; la versión vigente usa</w:t>
            </w:r>
            <w:r>
              <w:t xml:space="preserve"> </w:t>
            </w:r>
            <w:r>
              <w:rPr>
                <w:rStyle w:val="VerbatimChar"/>
              </w:rPr>
              <w:t xml:space="preserve">dplyr::case_when()</w:t>
            </w:r>
            <w:r>
              <w:t xml:space="preserve"> </w:t>
            </w:r>
            <w:r>
              <w:t xml:space="preserve">para vectorización.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evaluate_en_score()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evaluate_en_score_vec()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evaluar_puntaje_en()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evaluar_puntaje_en_vec()</w:t>
            </w:r>
          </w:p>
        </w:tc>
        <w:tc>
          <w:tcPr/>
          <w:p>
            <w:pPr>
              <w:pStyle w:val="Compact"/>
            </w:pPr>
            <w:r>
              <w:t xml:space="preserve">Misma lógica; la versión vigente usa</w:t>
            </w:r>
            <w:r>
              <w:t xml:space="preserve"> </w:t>
            </w:r>
            <w:r>
              <w:rPr>
                <w:rStyle w:val="VerbatimChar"/>
              </w:rPr>
              <w:t xml:space="preserve">dplyr::case_when()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Las implementaciones son conceptualmente equivalentes y trazables. La diferencia principal radica en: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Nomenclatura:</w:t>
      </w:r>
      <w:r>
        <w:t xml:space="preserve"> </w:t>
      </w:r>
      <w:r>
        <w:t xml:space="preserve">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adopta la convención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calculate_z_score</w:t>
      </w:r>
      <w:r>
        <w:t xml:space="preserve">) mientras que el entregable histórico usa nombre en español (</w:t>
      </w:r>
      <w:r>
        <w:rPr>
          <w:rStyle w:val="VerbatimChar"/>
        </w:rPr>
        <w:t xml:space="preserve">calcular_puntaje_z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Vectorización:</w:t>
      </w:r>
      <w:r>
        <w:t xml:space="preserve"> </w:t>
      </w:r>
      <w:r>
        <w:t xml:space="preserve">la versión vigente emplea</w:t>
      </w:r>
      <w:r>
        <w:t xml:space="preserve"> </w:t>
      </w:r>
      <w:r>
        <w:rPr>
          <w:rStyle w:val="VerbatimChar"/>
        </w:rPr>
        <w:t xml:space="preserve">dplyr::case_when()</w:t>
      </w:r>
      <w:r>
        <w:t xml:space="preserve"> </w:t>
      </w:r>
      <w:r>
        <w:t xml:space="preserve">para evaluación vectorizada, mientras que la histórica usa</w:t>
      </w:r>
      <w:r>
        <w:t xml:space="preserve"> </w:t>
      </w:r>
      <w:r>
        <w:rPr>
          <w:rStyle w:val="VerbatimChar"/>
        </w:rPr>
        <w:t xml:space="preserve">sapply()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Documentación roxygen2:</w:t>
      </w:r>
      <w:r>
        <w:t xml:space="preserve"> </w:t>
      </w:r>
      <w:r>
        <w:t xml:space="preserve">la versión vigente incluye documentación completa con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@param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@return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@examples</w:t>
      </w:r>
      <w:r>
        <w:t xml:space="preserve">, conforme a las convenciones del paquete.</w:t>
      </w:r>
    </w:p>
    <w:bookmarkEnd w:id="23"/>
    <w:bookmarkStart w:id="24" w:name="flujo-de-reportes"/>
    <w:p>
      <w:pPr>
        <w:pStyle w:val="Heading3"/>
      </w:pPr>
      <w:r>
        <w:t xml:space="preserve">Flujo de reportes</w:t>
      </w:r>
    </w:p>
    <w:p>
      <w:pPr>
        <w:pStyle w:val="FirstParagraph"/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crea_reporte.R</w:t>
      </w:r>
      <w:r>
        <w:t xml:space="preserve"> </w:t>
      </w:r>
      <w:r>
        <w:t xml:space="preserve">contiene funciones para estructurar el reporte PT. En la arquitectura vigente, el flujo de visualización y parte del cálculo de reportes reside directamente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y en la plantilla</w:t>
      </w:r>
      <w:r>
        <w:t xml:space="preserve"> </w:t>
      </w:r>
      <w:r>
        <w:rPr>
          <w:rStyle w:val="VerbatimChar"/>
        </w:rPr>
        <w:t xml:space="preserve">report_template.Rmd</w:t>
      </w:r>
      <w:r>
        <w:t xml:space="preserve">. Las funciones de</w:t>
      </w:r>
      <w:r>
        <w:t xml:space="preserve"> </w:t>
      </w:r>
      <w:r>
        <w:rPr>
          <w:rStyle w:val="VerbatimChar"/>
        </w:rPr>
        <w:t xml:space="preserve">crea_reporte.R</w:t>
      </w:r>
      <w:r>
        <w:t xml:space="preserve"> </w:t>
      </w:r>
      <w:r>
        <w:t xml:space="preserve">no se invocan directamente desde la aplicación Shiny activa, pero su lógica — organizar puntajes en tablas, generar resúmenes por participante y calcular estadísticas globales — sigue siendo trazable conceptualmente con lo que el aplicativo produce.</w:t>
      </w:r>
    </w:p>
    <w:bookmarkEnd w:id="24"/>
    <w:bookmarkStart w:id="25" w:name="trazabilidad"/>
    <w:p>
      <w:pPr>
        <w:pStyle w:val="Heading3"/>
      </w:pPr>
      <w:r>
        <w:t xml:space="preserve">Trazabilidad</w:t>
      </w:r>
    </w:p>
    <w:p>
      <w:pPr>
        <w:pStyle w:val="FirstParagraph"/>
      </w:pPr>
      <w:r>
        <w:t xml:space="preserve">Las fórmulas de</w:t>
      </w:r>
      <w:r>
        <w:t xml:space="preserve"> </w:t>
      </w:r>
      <w:r>
        <w:rPr>
          <w:rStyle w:val="VerbatimChar"/>
        </w:rPr>
        <w:t xml:space="preserve">calcula_puntajes.R</w:t>
      </w:r>
      <w:r>
        <w:t xml:space="preserve"> </w:t>
      </w:r>
      <w:r>
        <w:t xml:space="preserve">siguen siendo trazables conceptualmente respecto a las del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, pero</w:t>
      </w:r>
      <w:r>
        <w:t xml:space="preserve"> </w:t>
      </w:r>
      <w:r>
        <w:rPr>
          <w:b/>
          <w:bCs/>
        </w:rPr>
        <w:t xml:space="preserve">no representan por sí solas todo el flujo activo</w:t>
      </w:r>
      <w:r>
        <w:t xml:space="preserve"> </w:t>
      </w:r>
      <w:r>
        <w:t xml:space="preserve">del aplicativo. Las referencias normativas (ISO 13528:2022, Sección 10) son consistentes entre ambas implementaciones.</w:t>
      </w:r>
    </w:p>
    <w:bookmarkEnd w:id="25"/>
    <w:bookmarkEnd w:id="26"/>
    <w:bookmarkStart w:id="27" w:name="relación-con-otros-entregables"/>
    <w:p>
      <w:pPr>
        <w:pStyle w:val="Heading1"/>
      </w:pPr>
      <w:r>
        <w:t xml:space="preserve">Relación con Otros Entregables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Relación</w:t>
            </w:r>
          </w:p>
        </w:tc>
        <w:tc>
          <w:tcPr/>
          <w:p>
            <w:pPr>
              <w:pStyle w:val="Compact"/>
            </w:pPr>
            <w:r>
              <w:t xml:space="preserve">Naturaleza de la dependencia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E01</w:t>
            </w:r>
            <w:r>
              <w:t xml:space="preserve"> </w:t>
            </w:r>
            <w:r>
              <w:t xml:space="preserve">— Repositorio inicial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Provee la estructura de directorios y el repositorio Git sobre el que se desarrolla E04.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E02</w:t>
            </w:r>
            <w:r>
              <w:t xml:space="preserve"> </w:t>
            </w:r>
            <w:r>
              <w:t xml:space="preserve">— Inventario de funciones</w:t>
            </w:r>
          </w:p>
        </w:tc>
        <w:tc>
          <w:tcPr/>
          <w:p>
            <w:pPr>
              <w:pStyle w:val="Compact"/>
            </w:pPr>
            <w:r>
              <w:t xml:space="preserve">Referencial</w:t>
            </w:r>
          </w:p>
        </w:tc>
        <w:tc>
          <w:tcPr/>
          <w:p>
            <w:pPr>
              <w:pStyle w:val="Compact"/>
            </w:pPr>
            <w:r>
              <w:t xml:space="preserve">Documenta las funciones del aplicativo, incluidas las de puntajes. El inventario vigente cubre tanto las funciones históricas como las de</w:t>
            </w:r>
            <w:r>
              <w:t xml:space="preserve"> </w:t>
            </w:r>
            <w:r>
              <w:rPr>
                <w:rStyle w:val="VerbatimChar"/>
              </w:rPr>
              <w:t xml:space="preserve">ptcalc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E03</w:t>
            </w:r>
            <w:r>
              <w:t xml:space="preserve"> </w:t>
            </w:r>
            <w:r>
              <w:t xml:space="preserve">— Cálculos 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 directa</w:t>
            </w:r>
          </w:p>
        </w:tc>
        <w:tc>
          <w:tcPr/>
          <w:p>
            <w:pPr>
              <w:pStyle w:val="Compact"/>
            </w:pPr>
            <w:r>
              <w:t xml:space="preserve">Provee el valor asignado (</w:t>
            </w: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) y la desviación estándar (</w:t>
            </w: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), insumos obligatorios para el cálculo de puntajes. Los tests de E04 usan (vía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) funciones de E03.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E05</w:t>
            </w:r>
            <w:r>
              <w:t xml:space="preserve"> </w:t>
            </w:r>
            <w:r>
              <w:t xml:space="preserve">— Prototipo de UI</w:t>
            </w:r>
          </w:p>
        </w:tc>
        <w:tc>
          <w:tcPr/>
          <w:p>
            <w:pPr>
              <w:pStyle w:val="Compact"/>
            </w:pPr>
            <w:r>
              <w:t xml:space="preserve">Consumidor</w:t>
            </w:r>
          </w:p>
        </w:tc>
        <w:tc>
          <w:tcPr/>
          <w:p>
            <w:pPr>
              <w:pStyle w:val="Compact"/>
            </w:pPr>
            <w:r>
              <w:t xml:space="preserve">Las visualizaciones de puntajes en el prototipo se basan en los resultados producidos por E04.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E06</w:t>
            </w:r>
            <w:r>
              <w:t xml:space="preserve"> </w:t>
            </w:r>
            <w:r>
              <w:t xml:space="preserve">— Lógica Shiny / manual</w:t>
            </w:r>
          </w:p>
        </w:tc>
        <w:tc>
          <w:tcPr/>
          <w:p>
            <w:pPr>
              <w:pStyle w:val="Compact"/>
            </w:pPr>
            <w:r>
              <w:t xml:space="preserve">Consumidor</w:t>
            </w:r>
          </w:p>
        </w:tc>
        <w:tc>
          <w:tcPr/>
          <w:p>
            <w:pPr>
              <w:pStyle w:val="Compact"/>
            </w:pPr>
            <w:r>
              <w:t xml:space="preserve">La aplicación Shiny activa consume los puntajes calculados (vía</w:t>
            </w:r>
            <w:r>
              <w:t xml:space="preserve"> </w:t>
            </w:r>
            <w:r>
              <w:rPr>
                <w:rStyle w:val="VerbatimChar"/>
              </w:rPr>
              <w:t xml:space="preserve">ptcalc</w:t>
            </w:r>
            <w:r>
              <w:t xml:space="preserve"> </w:t>
            </w:r>
            <w:r>
              <w:t xml:space="preserve">o cálculos</w:t>
            </w:r>
            <w:r>
              <w:t xml:space="preserve"> </w:t>
            </w:r>
            <w:r>
              <w:rPr>
                <w:i/>
                <w:iCs/>
              </w:rPr>
              <w:t xml:space="preserve">inline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app.R</w:t>
            </w:r>
            <w:r>
              <w:t xml:space="preserve">) para tablas y gráficos.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E07</w:t>
            </w:r>
            <w:r>
              <w:t xml:space="preserve"> </w:t>
            </w:r>
            <w:r>
              <w:t xml:space="preserve">— Dashboards</w:t>
            </w:r>
          </w:p>
        </w:tc>
        <w:tc>
          <w:tcPr/>
          <w:p>
            <w:pPr>
              <w:pStyle w:val="Compact"/>
            </w:pPr>
            <w:r>
              <w:t xml:space="preserve">Consumidor</w:t>
            </w:r>
          </w:p>
        </w:tc>
        <w:tc>
          <w:tcPr/>
          <w:p>
            <w:pPr>
              <w:pStyle w:val="Compact"/>
            </w:pPr>
            <w:r>
              <w:t xml:space="preserve">Los gráficos de desempeño de los</w:t>
            </w:r>
            <w:r>
              <w:t xml:space="preserve"> </w:t>
            </w:r>
            <w:r>
              <w:rPr>
                <w:i/>
                <w:iCs/>
              </w:rPr>
              <w:t xml:space="preserve">dashboards</w:t>
            </w:r>
            <w:r>
              <w:t xml:space="preserve"> </w:t>
            </w:r>
            <w:r>
              <w:t xml:space="preserve">usan los puntajes y sus categorías cualitativas.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E08</w:t>
            </w:r>
            <w:r>
              <w:t xml:space="preserve"> </w:t>
            </w:r>
            <w:r>
              <w:t xml:space="preserve">— Beta</w:t>
            </w:r>
          </w:p>
        </w:tc>
        <w:tc>
          <w:tcPr/>
          <w:p>
            <w:pPr>
              <w:pStyle w:val="Compact"/>
            </w:pPr>
            <w:r>
              <w:t xml:space="preserve">Consumidor</w:t>
            </w:r>
          </w:p>
        </w:tc>
        <w:tc>
          <w:tcPr/>
          <w:p>
            <w:pPr>
              <w:pStyle w:val="Compact"/>
            </w:pPr>
            <w:r>
              <w:t xml:space="preserve">La versión beta utilizaba los puntajes para validación end-to-end.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E09</w:t>
            </w:r>
            <w:r>
              <w:t xml:space="preserve"> </w:t>
            </w:r>
            <w:r>
              <w:t xml:space="preserve">— Informe final</w:t>
            </w:r>
          </w:p>
        </w:tc>
        <w:tc>
          <w:tcPr/>
          <w:p>
            <w:pPr>
              <w:pStyle w:val="Compact"/>
            </w:pPr>
            <w:r>
              <w:t xml:space="preserve">Consumidor</w:t>
            </w:r>
          </w:p>
        </w:tc>
        <w:tc>
          <w:tcPr/>
          <w:p>
            <w:pPr>
              <w:pStyle w:val="Compact"/>
            </w:pPr>
            <w:r>
              <w:t xml:space="preserve">El informe de validación reporta los resultados de desempeño de laboratorios, basados en los puntajes de E04.</w:t>
            </w:r>
          </w:p>
        </w:tc>
      </w:tr>
    </w:tbl>
    <w:bookmarkEnd w:id="27"/>
    <w:bookmarkStart w:id="28" w:name="riesgos-y-limitaciones"/>
    <w:p>
      <w:pPr>
        <w:pStyle w:val="Heading1"/>
      </w:pPr>
      <w:r>
        <w:t xml:space="preserve">Riesgos y Limitaciones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Vigencia parcial del código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standalone</w:t>
      </w:r>
      <w:r>
        <w:rPr>
          <w:b/>
          <w:bCs/>
        </w:rPr>
        <w:t xml:space="preserve">:</w:t>
      </w:r>
      <w:r>
        <w:t xml:space="preserve"> </w:t>
      </w:r>
      <w:r>
        <w:t xml:space="preserve">Las funciones de</w:t>
      </w:r>
      <w:r>
        <w:t xml:space="preserve"> </w:t>
      </w:r>
      <w:r>
        <w:rPr>
          <w:rStyle w:val="VerbatimChar"/>
        </w:rPr>
        <w:t xml:space="preserve">calcula_puntajes.R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crea_reporte.R</w:t>
      </w:r>
      <w:r>
        <w:t xml:space="preserve"> </w:t>
      </w:r>
      <w:r>
        <w:t xml:space="preserve">no se invocan directamente desde la aplicación Shiny vigente. El contenido sigue siendo útil como referencia conceptual, trazabilidad normativa y material pedagógico, pero no debe emplearse como especificación única del flujo activo. Para el estado actual del aplicativo, debe contrastarse con</w:t>
      </w:r>
      <w:r>
        <w:t xml:space="preserve"> </w:t>
      </w:r>
      <w:r>
        <w:rPr>
          <w:rStyle w:val="VerbatimChar"/>
        </w:rPr>
        <w:t xml:space="preserve">ptcalc/R/pt_scores.R</w:t>
      </w:r>
      <w:r>
        <w:t xml:space="preserve"> </w:t>
      </w:r>
      <w:r>
        <w:t xml:space="preserve">y con los cálculos</w:t>
      </w:r>
      <w:r>
        <w:t xml:space="preserve"> </w:t>
      </w:r>
      <w:r>
        <w:rPr>
          <w:i/>
          <w:iCs/>
        </w:rPr>
        <w:t xml:space="preserve">inline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Divergencia de nomenclatura entre implementaciones:</w:t>
      </w:r>
      <w:r>
        <w:t xml:space="preserve"> </w:t>
      </w:r>
      <w:r>
        <w:t xml:space="preserve">Existen dos trayectorias de puntajes — las funciones de</w:t>
      </w:r>
      <w:r>
        <w:t xml:space="preserve"> </w:t>
      </w:r>
      <w:r>
        <w:rPr>
          <w:rStyle w:val="VerbatimChar"/>
        </w:rPr>
        <w:t xml:space="preserve">ptcalc/R/pt_scores.R</w:t>
      </w:r>
      <w:r>
        <w:t xml:space="preserve"> </w:t>
      </w:r>
      <w:r>
        <w:t xml:space="preserve">y los cálculos</w:t>
      </w:r>
      <w:r>
        <w:t xml:space="preserve"> </w:t>
      </w:r>
      <w:r>
        <w:rPr>
          <w:i/>
          <w:iCs/>
        </w:rPr>
        <w:t xml:space="preserve">inline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. Aunque los resultados numéricos son consistentes, la multiplicidad de puntos de cálculo introduce un riesgo de mantenimiento que debe gestionarse documentando claramente qué fuente es la autoritativa (el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Normalización de etiquetas cualitativas:</w:t>
      </w:r>
      <w:r>
        <w:t xml:space="preserve"> </w:t>
      </w:r>
      <w:r>
        <w:t xml:space="preserve">Históricamente ha existido oscilación entre las etiquetas</w:t>
      </w:r>
      <w:r>
        <w:t xml:space="preserve"> </w:t>
      </w:r>
      <w:r>
        <w:rPr>
          <w:b/>
          <w:bCs/>
        </w:rPr>
        <w:t xml:space="preserve">“No satisfactorio”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“Insatisfactorio”</w:t>
      </w:r>
      <w:r>
        <w:t xml:space="preserve">. Ambas denominan la misma categoría (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3</m:t>
        </m:r>
      </m:oMath>
      <w:r>
        <w:t xml:space="preserve">). El presente documento y la convención adoptada en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usan</w:t>
      </w:r>
      <w:r>
        <w:t xml:space="preserve"> </w:t>
      </w:r>
      <w:r>
        <w:rPr>
          <w:b/>
          <w:bCs/>
        </w:rPr>
        <w:t xml:space="preserve">“No satisfactorio”</w:t>
      </w:r>
      <w:r>
        <w:t xml:space="preserve">. La bitácora de actualización 260616 confirma que se normalizó la etiqueta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para consistencia con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. Donde subsista divergencia textual, debe normalizarse a</w:t>
      </w:r>
      <w:r>
        <w:t xml:space="preserve"> </w:t>
      </w:r>
      <w:r>
        <w:rPr>
          <w:b/>
          <w:bCs/>
        </w:rPr>
        <w:t xml:space="preserve">“No satisfactorio”</w:t>
      </w:r>
      <w:r>
        <w:t xml:space="preserve"> </w:t>
      </w:r>
      <w:r>
        <w:t xml:space="preserve">antes de usar la etiqueta como criterio de validación textual.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Dependencia de pruebas del directorio de trabajo:</w:t>
      </w:r>
      <w:r>
        <w:t xml:space="preserve"> </w:t>
      </w:r>
      <w:r>
        <w:t xml:space="preserve">Algunos tests del entregable cargan datos y funciones (vía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 mediante rutas relativas a la raíz del proyecto. La ejecución de los tests debe realizarse desde el directorio raíz (</w:t>
      </w:r>
      <w:r>
        <w:rPr>
          <w:rStyle w:val="VerbatimChar"/>
        </w:rPr>
        <w:t xml:space="preserve">pt_app/</w:t>
      </w:r>
      <w:r>
        <w:t xml:space="preserve">) para garantizar que las rutas resuelvan correctamente.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Fórmulas no incluidas en el cuerpo principal:</w:t>
      </w:r>
      <w:r>
        <w:t xml:space="preserve"> </w:t>
      </w:r>
      <w:r>
        <w:t xml:space="preserve">Por criterio editorial, este documento no reproduce las fórmulas matemáticas extensas en su cuerpo. Para consultas de las ecuaciones, derivaciones y ejemplos numéricos, debe remitirse al anexo técnico</w:t>
      </w:r>
      <w:r>
        <w:t xml:space="preserve"> </w:t>
      </w:r>
      <w:r>
        <w:rPr>
          <w:rStyle w:val="VerbatimChar"/>
        </w:rPr>
        <w:t xml:space="preserve">formulas_y_ejemplos.docx</w:t>
      </w:r>
      <w:r>
        <w:t xml:space="preserve">, parte del contenido entregado.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Ausencia de categoría</w:t>
      </w:r>
      <w:r>
        <w:rPr>
          <w:b/>
          <w:bCs/>
        </w:rPr>
        <w:t xml:space="preserve"> </w:t>
      </w:r>
      <w:r>
        <w:rPr>
          <w:b/>
          <w:bCs/>
        </w:rPr>
        <w:t xml:space="preserve">“Cuestionable”</w:t>
      </w:r>
      <w:r>
        <w:rPr>
          <w:b/>
          <w:bCs/>
        </w:rPr>
        <w:t xml:space="preserve"> </w:t>
      </w:r>
      <w:r>
        <w:rPr>
          <w:b/>
          <w:bCs/>
        </w:rPr>
        <w:t xml:space="preserve">para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El puntaje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define solo dos categorías (Satisfactorio / No satisfactorio), sin un intervalo intermedio. Esto es consistente con la Sección 10.5 de ISO 13528:2022 y no constituye una limitación, pero debe comunicarse con claridad para evitar confusiones con los tres niveles de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ζ</m:t>
        </m:r>
      </m:oMath>
      <w:r>
        <w:t xml:space="preserve">.</w:t>
      </w:r>
    </w:p>
    <w:bookmarkEnd w:id="28"/>
    <w:bookmarkStart w:id="29" w:name="documentos-de-consulta"/>
    <w:p>
      <w:pPr>
        <w:pStyle w:val="Heading1"/>
      </w:pPr>
      <w:r>
        <w:t xml:space="preserve">Documentos de Consulta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Statistical methods for use in proficiency testing by interlaboratory comparison</w:t>
            </w:r>
            <w:r>
              <w:t xml:space="preserve">. Secciones 10.2 (z-scores), 10.3 (z’-scores), 10.4 (zeta-scores), 10.5 (En-scores).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17043:2023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Conformity assessment — General requirements for the competence of proficiency testing providers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formulas_y_ejemplos.docx</w:t>
            </w:r>
          </w:p>
        </w:tc>
        <w:tc>
          <w:tcPr/>
          <w:p>
            <w:pPr>
              <w:pStyle w:val="Compact"/>
            </w:pPr>
            <w:r>
              <w:t xml:space="preserve">Anexo técnico del Entregable 04 con ecuaciones completas y ejemplos numéricos.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ptcalc/R/pt_scores.R</w:t>
            </w:r>
          </w:p>
        </w:tc>
        <w:tc>
          <w:tcPr/>
          <w:p>
            <w:pPr>
              <w:pStyle w:val="Compact"/>
            </w:pPr>
            <w:r>
              <w:t xml:space="preserve">Implementación vigente de las fórmulas de puntajes en el paquete</w:t>
            </w:r>
            <w:r>
              <w:t xml:space="preserve"> </w:t>
            </w:r>
            <w:r>
              <w:rPr>
                <w:rStyle w:val="VerbatimChar"/>
              </w:rPr>
              <w:t xml:space="preserve">ptcalc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e4.md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Overview</w:t>
            </w:r>
            <w:r>
              <w:t xml:space="preserve"> </w:t>
            </w:r>
            <w:r>
              <w:t xml:space="preserve">del Entregable 04 — índice de archivos y procedimiento de verificación.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bitacora_actualizacion_260616.md</w:t>
            </w:r>
          </w:p>
        </w:tc>
        <w:tc>
          <w:tcPr/>
          <w:p>
            <w:pPr>
              <w:pStyle w:val="Compact"/>
            </w:pPr>
            <w:r>
              <w:t xml:space="preserve">Bitácora de actualización documental con matriz de discrepancias y riesgos técnicos.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Guía de estilo Tidyverse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Tidyverse Style Guide</w:t>
            </w:r>
            <w:r>
              <w:t xml:space="preserve"> </w:t>
            </w:r>
            <w:r>
              <w:t xml:space="preserve">— https://style.tidyverse.org/</w:t>
            </w:r>
          </w:p>
        </w:tc>
      </w:tr>
    </w:tbl>
    <w:bookmarkEnd w:id="29"/>
    <w:bookmarkStart w:id="30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El Entregable 04 — Módulo de Cálculo de Puntajes — aporta la implementación de los cuatro indicadores de desempeño (</w:t>
      </w:r>
      <m:oMath>
        <m:r>
          <m:t>z</m:t>
        </m:r>
      </m:oMath>
      <w:r>
        <w:t xml:space="preserve">,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m:oMath>
        <m:r>
          <m:t>ζ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) que constituyen el núcleo evaluativo del aplicativo PT App. Su contenido sigue siendo útil como referencia conceptual, material pedagógico y fuente de trazabilidad normativa frente a ISO 13528:2022.</w:t>
      </w:r>
    </w:p>
    <w:p>
      <w:pPr>
        <w:pStyle w:val="BodyText"/>
      </w:pPr>
      <w:r>
        <w:t xml:space="preserve">Las fórmulas y criterios de evaluación aquí documentados son consistentes con la implementación vigente del paquete</w:t>
      </w:r>
      <w:r>
        <w:t xml:space="preserve"> </w:t>
      </w:r>
      <w:r>
        <w:rPr>
          <w:rStyle w:val="VerbatimChar"/>
        </w:rPr>
        <w:t xml:space="preserve">ptcalc/R/pt_scores.R</w:t>
      </w:r>
      <w:r>
        <w:t xml:space="preserve">, si bien el entregable histórico no representa por sí solo la totalidad del flujo activo del aplicativo, que distribuye parte del cálculo y de la presentación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.</w:t>
      </w:r>
    </w:p>
    <w:p>
      <w:pPr>
        <w:pStyle w:val="BodyText"/>
      </w:pPr>
      <w:r>
        <w:t xml:space="preserve">El presente documento cataloga el entregable como</w:t>
      </w:r>
      <w:r>
        <w:t xml:space="preserve"> </w:t>
      </w:r>
      <w:r>
        <w:rPr>
          <w:b/>
          <w:bCs/>
        </w:rPr>
        <w:t xml:space="preserve">histórico / parcialmente vigente</w:t>
      </w:r>
      <w:r>
        <w:t xml:space="preserve">, recomendando que cualquier uso normativo o de validación se contraste con las fuentes vigentes. La normalización de la etiqueta</w:t>
      </w:r>
      <w:r>
        <w:t xml:space="preserve"> </w:t>
      </w:r>
      <w:r>
        <w:rPr>
          <w:b/>
          <w:bCs/>
        </w:rPr>
        <w:t xml:space="preserve">“No satisfactorio”</w:t>
      </w:r>
      <w:r>
        <w:t xml:space="preserve"> </w:t>
      </w:r>
      <w:r>
        <w:t xml:space="preserve">y la remisión de las derivaciones matemáticas al anexo técnico son las salvaguardas adoptadas para asegurar consistencia terminológica y legibilidad institucional.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— Entregable 04: Módulo de Cálculo de Puntajes</dc:title>
  <dc:creator>Universidad Nacional de Colombia / Instituto Nacional de Metrología</dc:creator>
  <cp:keywords/>
  <dcterms:created xsi:type="dcterms:W3CDTF">2026-06-28T18:55:18Z</dcterms:created>
  <dcterms:modified xsi:type="dcterms:W3CDTF">2026-06-28T18:55:18Z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2026-06-28</vt:lpwstr>
  </property>
  <property fmtid="{D5CDD505-2E9C-101B-9397-08002B2CF9AE}" pid="3" name="responsible">
    <vt:lpwstr>Subagente documental — entregable_04_scoring_documenter</vt:lpwstr>
  </property>
  <property fmtid="{D5CDD505-2E9C-101B-9397-08002B2CF9AE}" pid="4" name="subtitle">
    <vt:lpwstr>Aplicativo PT App — Ensayos de Aptitud per ISO 13528:2022 e ISO 17043:2023</vt:lpwstr>
  </property>
  <property fmtid="{D5CDD505-2E9C-101B-9397-08002B2CF9AE}" pid="5" name="version">
    <vt:lpwstr>1.0</vt:lpwstr>
  </property>
</Properties>
</file>