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E9BD" w14:textId="2F513072" w:rsidR="00B57D46" w:rsidRDefault="00B57D46" w:rsidP="009107EB">
      <w:pPr>
        <w:pStyle w:val="Ttulo1"/>
        <w:spacing w:before="0" w:after="240" w:line="240" w:lineRule="auto"/>
      </w:pPr>
      <w:r w:rsidRPr="000A265A">
        <w:t>Connected Comfort: Industrial-Style Home Improvement Project</w:t>
      </w:r>
    </w:p>
    <w:p w14:paraId="56374435" w14:textId="77777777" w:rsidR="000A265A" w:rsidRDefault="000553CF" w:rsidP="006E3B6C">
      <w:pPr>
        <w:pStyle w:val="Ttulo2"/>
        <w:spacing w:line="240" w:lineRule="auto"/>
      </w:pPr>
      <w:r w:rsidRPr="000A265A">
        <w:t>Project Description</w:t>
      </w:r>
    </w:p>
    <w:p w14:paraId="5A4F9DF6" w14:textId="214091AD" w:rsidR="000A265A" w:rsidRPr="000A265A" w:rsidRDefault="000A265A" w:rsidP="006E3B6C">
      <w:pPr>
        <w:spacing w:line="240" w:lineRule="auto"/>
      </w:pPr>
      <w:r w:rsidRPr="000A265A">
        <w:t>The Connected Comfort project aims to transform three key areas—home studio, living room, and main bedroom—into modern, functional, and aesthetically pleasing spaces, integrating smart technology for automation and control. The project seeks to address limitations in the current layout, such as insufficient workspace, inadequate lighting, and limited appliance control, with a focus on enhancing both comfort and productivity.</w:t>
      </w:r>
    </w:p>
    <w:p w14:paraId="308E395B" w14:textId="77777777" w:rsidR="000A265A" w:rsidRPr="000A265A" w:rsidRDefault="000A265A" w:rsidP="006E3B6C">
      <w:pPr>
        <w:spacing w:line="240" w:lineRule="auto"/>
      </w:pPr>
      <w:r w:rsidRPr="000A265A">
        <w:t>Each room will follow an industrial design theme, blending black metal with wood, providing a cohesive, stylish aesthetic. The use of IoT technology will allow automation of lighting, temperature, and appliances, creating a seamless, energy-efficient environment. Completion by December 31, 2024 ensures that the upgrades are ready for use before the start of the new year.</w:t>
      </w:r>
    </w:p>
    <w:p w14:paraId="4F1F1055" w14:textId="77777777" w:rsidR="000A265A" w:rsidRDefault="000A265A" w:rsidP="006E3B6C">
      <w:pPr>
        <w:spacing w:line="240" w:lineRule="auto"/>
      </w:pPr>
      <w:r w:rsidRPr="000A265A">
        <w:t>This project is driven by the homeowner’s goal of achieving a high-functioning and visually appealing home, suited for work, leisure, and daily activities, with minimal disruption to the existing structure. The emphasis on eco-friendly solutions (e.g., indoor plants, natural light) further enhances the living environment.</w:t>
      </w:r>
    </w:p>
    <w:p w14:paraId="75C25CE6" w14:textId="263243EF" w:rsidR="000A265A" w:rsidRDefault="000A265A" w:rsidP="006E3B6C">
      <w:pPr>
        <w:pStyle w:val="Ttulo2"/>
        <w:spacing w:line="240" w:lineRule="auto"/>
      </w:pPr>
      <w:r w:rsidRPr="000A265A">
        <w:t xml:space="preserve">Project </w:t>
      </w:r>
      <w:r>
        <w:t>Purpose</w:t>
      </w:r>
    </w:p>
    <w:p w14:paraId="40AEBB6F" w14:textId="77777777" w:rsidR="000A265A" w:rsidRDefault="000A265A" w:rsidP="006E3B6C">
      <w:pPr>
        <w:spacing w:line="240" w:lineRule="auto"/>
      </w:pPr>
      <w:r>
        <w:t>The purpose of this project is to enhance the overall comfort, usability, and style of the home by upgrading the home studio, living room, and main bedroom. The need arises from the limitations of the current setup:</w:t>
      </w:r>
    </w:p>
    <w:p w14:paraId="2293A5E4" w14:textId="77777777" w:rsidR="000A265A" w:rsidRDefault="000A265A" w:rsidP="006E3B6C">
      <w:pPr>
        <w:spacing w:line="240" w:lineRule="auto"/>
      </w:pPr>
      <w:r>
        <w:t>Home Studio: Limited desk space, outdated computer setup, and poor lighting.</w:t>
      </w:r>
    </w:p>
    <w:p w14:paraId="154FD946" w14:textId="77777777" w:rsidR="000A265A" w:rsidRDefault="000A265A" w:rsidP="006E3B6C">
      <w:pPr>
        <w:spacing w:line="240" w:lineRule="auto"/>
      </w:pPr>
      <w:r>
        <w:t>Living Room: Inefficient furniture layout, lack of smart appliances, and insufficient greenery.</w:t>
      </w:r>
    </w:p>
    <w:p w14:paraId="334F03CF" w14:textId="77777777" w:rsidR="000A265A" w:rsidRDefault="000A265A" w:rsidP="006E3B6C">
      <w:pPr>
        <w:spacing w:line="240" w:lineRule="auto"/>
      </w:pPr>
      <w:r>
        <w:t>Main Bedroom: Outdated furniture, poor lighting, and no automation for appliances and windows.</w:t>
      </w:r>
    </w:p>
    <w:p w14:paraId="7164F7FF" w14:textId="7951EA92" w:rsidR="000A265A" w:rsidRPr="000A265A" w:rsidRDefault="000A265A" w:rsidP="006E3B6C">
      <w:pPr>
        <w:spacing w:line="240" w:lineRule="auto"/>
      </w:pPr>
      <w:r>
        <w:t>The renovation will introduce IoT-based automation to control lighting, temperature, and appliances across all rooms, improving energy efficiency and convenience. The unified industrial style will create a sleek, modern aesthetic, ensuring the design aligns with the homeowner’s vision.</w:t>
      </w:r>
    </w:p>
    <w:p w14:paraId="4C9A2C9C" w14:textId="3A62902A" w:rsidR="000A265A" w:rsidRDefault="000A265A" w:rsidP="006E3B6C">
      <w:pPr>
        <w:pStyle w:val="Ttulo2"/>
        <w:spacing w:line="240" w:lineRule="auto"/>
      </w:pPr>
      <w:r w:rsidRPr="000A265A">
        <w:t>Project Objectives (SMART)</w:t>
      </w:r>
    </w:p>
    <w:p w14:paraId="5FB567D8" w14:textId="77777777" w:rsidR="000A265A" w:rsidRPr="000A265A" w:rsidRDefault="000A265A" w:rsidP="006E3B6C">
      <w:pPr>
        <w:spacing w:line="240" w:lineRule="auto"/>
      </w:pPr>
      <w:r w:rsidRPr="000A265A">
        <w:t>Upgrade functional spaces: Enhance the home studio, living room, and main bedroom to improve usability and aesthetics by December 31, 2024.</w:t>
      </w:r>
    </w:p>
    <w:p w14:paraId="4D5DA9D3" w14:textId="77777777" w:rsidR="000A265A" w:rsidRPr="000A265A" w:rsidRDefault="000A265A" w:rsidP="006E3B6C">
      <w:pPr>
        <w:spacing w:line="240" w:lineRule="auto"/>
      </w:pPr>
      <w:r w:rsidRPr="000A265A">
        <w:lastRenderedPageBreak/>
        <w:t>IoT integration: Implement smart control systems (lighting, temperature, and appliances) across all three spaces, achieving full automation by December 15, 2024.</w:t>
      </w:r>
    </w:p>
    <w:p w14:paraId="6FEC618C" w14:textId="1C708E1F" w:rsidR="000A265A" w:rsidRDefault="000A265A" w:rsidP="006E3B6C">
      <w:pPr>
        <w:spacing w:line="240" w:lineRule="auto"/>
      </w:pPr>
      <w:r w:rsidRPr="000A265A">
        <w:t>Design consistency: Furnish all spaces with industrial-style furniture made of black metal and wood elements, ensuring cohesive aesthetics by December 10, 2024.</w:t>
      </w:r>
    </w:p>
    <w:p w14:paraId="1D87B5B2" w14:textId="7E126451" w:rsidR="000A265A" w:rsidRPr="000A265A" w:rsidRDefault="000A265A" w:rsidP="006E3B6C">
      <w:pPr>
        <w:pStyle w:val="Ttulo2"/>
        <w:spacing w:line="240" w:lineRule="auto"/>
      </w:pPr>
      <w:r w:rsidRPr="000A265A">
        <w:t>Project Scope/Deliverables</w:t>
      </w:r>
    </w:p>
    <w:p w14:paraId="3FAC63DD" w14:textId="77777777" w:rsidR="000A265A" w:rsidRPr="000A265A" w:rsidRDefault="000A265A" w:rsidP="006E3B6C">
      <w:pPr>
        <w:pStyle w:val="Ttulo3"/>
        <w:spacing w:line="240" w:lineRule="auto"/>
      </w:pPr>
      <w:r w:rsidRPr="000A265A">
        <w:t>Scope Statement</w:t>
      </w:r>
    </w:p>
    <w:p w14:paraId="537FDFC3" w14:textId="77777777" w:rsidR="000A265A" w:rsidRPr="000A265A" w:rsidRDefault="000A265A" w:rsidP="006E3B6C">
      <w:pPr>
        <w:spacing w:line="240" w:lineRule="auto"/>
      </w:pPr>
      <w:r w:rsidRPr="000A265A">
        <w:t>This project will upgrade three key areas to improve functionality, comfort, and aesthetics:</w:t>
      </w:r>
    </w:p>
    <w:p w14:paraId="134F216A" w14:textId="77777777" w:rsidR="000A265A" w:rsidRPr="000A265A" w:rsidRDefault="000A265A" w:rsidP="009107EB">
      <w:pPr>
        <w:pStyle w:val="Prrafodelista"/>
        <w:numPr>
          <w:ilvl w:val="0"/>
          <w:numId w:val="7"/>
        </w:numPr>
        <w:spacing w:line="240" w:lineRule="auto"/>
      </w:pPr>
      <w:r w:rsidRPr="000A265A">
        <w:t>Home Studio: Install new desk and computer setup, smart lights, window treatments, plants, audio equipment, and organize the library.</w:t>
      </w:r>
    </w:p>
    <w:p w14:paraId="5DC1ADA8" w14:textId="77777777" w:rsidR="000A265A" w:rsidRPr="000A265A" w:rsidRDefault="000A265A" w:rsidP="009107EB">
      <w:pPr>
        <w:pStyle w:val="Prrafodelista"/>
        <w:numPr>
          <w:ilvl w:val="0"/>
          <w:numId w:val="7"/>
        </w:numPr>
        <w:spacing w:line="240" w:lineRule="auto"/>
      </w:pPr>
      <w:r w:rsidRPr="000A265A">
        <w:t>Living Room: Introduce new furniture and smart appliances, improve lighting, and add plants for aesthetics and air quality.</w:t>
      </w:r>
    </w:p>
    <w:p w14:paraId="6A2FF12D" w14:textId="77777777" w:rsidR="000A265A" w:rsidRPr="000A265A" w:rsidRDefault="000A265A" w:rsidP="009107EB">
      <w:pPr>
        <w:pStyle w:val="Prrafodelista"/>
        <w:numPr>
          <w:ilvl w:val="0"/>
          <w:numId w:val="7"/>
        </w:numPr>
        <w:spacing w:line="240" w:lineRule="auto"/>
      </w:pPr>
      <w:r w:rsidRPr="000A265A">
        <w:t>Main Room: Replace furniture, improve lighting and window treatments, and integrate IoT devices for temperature and appliance control.</w:t>
      </w:r>
    </w:p>
    <w:p w14:paraId="4C4441CF" w14:textId="77777777" w:rsidR="000A265A" w:rsidRPr="000A265A" w:rsidRDefault="000A265A" w:rsidP="009107EB">
      <w:pPr>
        <w:pStyle w:val="Ttulo3"/>
      </w:pPr>
      <w:r w:rsidRPr="000A265A">
        <w:t>What’s in Scope?</w:t>
      </w:r>
    </w:p>
    <w:p w14:paraId="719D82B4" w14:textId="77777777" w:rsidR="000A265A" w:rsidRPr="000A265A" w:rsidRDefault="000A265A" w:rsidP="006E3B6C">
      <w:pPr>
        <w:spacing w:line="240" w:lineRule="auto"/>
      </w:pPr>
      <w:r w:rsidRPr="000A265A">
        <w:t>Purchase and installation of industrial-style furniture (black metal and wood).</w:t>
      </w:r>
    </w:p>
    <w:p w14:paraId="42AC31CB" w14:textId="77777777" w:rsidR="000A265A" w:rsidRPr="000A265A" w:rsidRDefault="000A265A" w:rsidP="006E3B6C">
      <w:pPr>
        <w:spacing w:line="240" w:lineRule="auto"/>
      </w:pPr>
      <w:r w:rsidRPr="000A265A">
        <w:t>Setup of IoT devices for smart control of lighting, temperature, and appliances.</w:t>
      </w:r>
    </w:p>
    <w:p w14:paraId="62FF2311" w14:textId="77777777" w:rsidR="000A265A" w:rsidRPr="000A265A" w:rsidRDefault="000A265A" w:rsidP="006E3B6C">
      <w:pPr>
        <w:spacing w:line="240" w:lineRule="auto"/>
      </w:pPr>
      <w:r w:rsidRPr="000A265A">
        <w:t>Enhancements with plants, lighting upgrades, and window improvements.</w:t>
      </w:r>
    </w:p>
    <w:p w14:paraId="70F139B6" w14:textId="77777777" w:rsidR="000A265A" w:rsidRPr="000A265A" w:rsidRDefault="000A265A" w:rsidP="009107EB">
      <w:pPr>
        <w:pStyle w:val="Ttulo3"/>
      </w:pPr>
      <w:r w:rsidRPr="000A265A">
        <w:t>What’s out of Scope?</w:t>
      </w:r>
    </w:p>
    <w:p w14:paraId="713FE297" w14:textId="77777777" w:rsidR="000A265A" w:rsidRPr="000A265A" w:rsidRDefault="000A265A" w:rsidP="006E3B6C">
      <w:pPr>
        <w:spacing w:line="240" w:lineRule="auto"/>
      </w:pPr>
      <w:r w:rsidRPr="000A265A">
        <w:t>Major structural renovations (e.g., window resizing or wall changes).</w:t>
      </w:r>
    </w:p>
    <w:p w14:paraId="3D9FDECD" w14:textId="79C51816" w:rsidR="000A265A" w:rsidRDefault="000A265A" w:rsidP="006E3B6C">
      <w:pPr>
        <w:spacing w:line="240" w:lineRule="auto"/>
      </w:pPr>
      <w:r w:rsidRPr="000A265A">
        <w:t>Modifications to outdoor areas or rooms not listed in the scope.</w:t>
      </w:r>
    </w:p>
    <w:p w14:paraId="1939FA9B" w14:textId="17DD9DBE" w:rsidR="000A265A" w:rsidRDefault="006E3B6C" w:rsidP="006E3B6C">
      <w:pPr>
        <w:pStyle w:val="Ttulo2"/>
        <w:spacing w:line="240" w:lineRule="auto"/>
      </w:pPr>
      <w:r w:rsidRPr="006E3B6C">
        <w:t>Project Constraints</w:t>
      </w:r>
    </w:p>
    <w:p w14:paraId="4A313A31" w14:textId="77777777" w:rsidR="006E3B6C" w:rsidRDefault="006E3B6C" w:rsidP="009107EB">
      <w:pPr>
        <w:pStyle w:val="Prrafodelista"/>
        <w:numPr>
          <w:ilvl w:val="0"/>
          <w:numId w:val="6"/>
        </w:numPr>
        <w:spacing w:line="240" w:lineRule="auto"/>
      </w:pPr>
      <w:r>
        <w:t>Schedule Constraint: The project must be completed by December 31, 2024 to ensure readiness before the new year.</w:t>
      </w:r>
    </w:p>
    <w:p w14:paraId="5D924A62" w14:textId="77777777" w:rsidR="006E3B6C" w:rsidRDefault="006E3B6C" w:rsidP="009107EB">
      <w:pPr>
        <w:pStyle w:val="Prrafodelista"/>
        <w:numPr>
          <w:ilvl w:val="0"/>
          <w:numId w:val="6"/>
        </w:numPr>
        <w:spacing w:line="240" w:lineRule="auto"/>
      </w:pPr>
      <w:r>
        <w:t>Cost Constraint: The total project budget is $20,000, covering all furniture, appliances, and IoT setups.</w:t>
      </w:r>
    </w:p>
    <w:p w14:paraId="503C709C" w14:textId="77777777" w:rsidR="006E3B6C" w:rsidRDefault="006E3B6C" w:rsidP="009107EB">
      <w:pPr>
        <w:pStyle w:val="Prrafodelista"/>
        <w:numPr>
          <w:ilvl w:val="0"/>
          <w:numId w:val="6"/>
        </w:numPr>
        <w:spacing w:line="240" w:lineRule="auto"/>
      </w:pPr>
      <w:r>
        <w:t>Quality Constraint: Furniture must adhere to the industrial design theme (black metal and wood) to maintain aesthetic consistency.</w:t>
      </w:r>
    </w:p>
    <w:p w14:paraId="2BF933EE" w14:textId="42E48304" w:rsidR="006E3B6C" w:rsidRDefault="006E3B6C" w:rsidP="009107EB">
      <w:pPr>
        <w:pStyle w:val="Prrafodelista"/>
        <w:numPr>
          <w:ilvl w:val="0"/>
          <w:numId w:val="6"/>
        </w:numPr>
        <w:spacing w:line="240" w:lineRule="auto"/>
      </w:pPr>
      <w:r>
        <w:t>Resource Constraint: Availability of specific furniture and IoT devices may impact timelines.</w:t>
      </w:r>
    </w:p>
    <w:p w14:paraId="53830E1D" w14:textId="6E1B0130" w:rsidR="00077CF9" w:rsidRDefault="00077CF9" w:rsidP="00077CF9">
      <w:pPr>
        <w:spacing w:line="240" w:lineRule="auto"/>
      </w:pPr>
    </w:p>
    <w:p w14:paraId="1D09716C" w14:textId="0E50EDC4" w:rsidR="00077CF9" w:rsidRDefault="00077CF9" w:rsidP="00077CF9">
      <w:pPr>
        <w:spacing w:line="240" w:lineRule="auto"/>
      </w:pPr>
    </w:p>
    <w:p w14:paraId="51BE2E27" w14:textId="77777777" w:rsidR="00077CF9" w:rsidRDefault="00077CF9" w:rsidP="00077CF9">
      <w:pPr>
        <w:spacing w:line="240" w:lineRule="auto"/>
      </w:pPr>
    </w:p>
    <w:p w14:paraId="59003ACC" w14:textId="3DF5B43E" w:rsidR="006E3B6C" w:rsidRDefault="006E3B6C" w:rsidP="006E3B6C">
      <w:pPr>
        <w:pStyle w:val="Ttulo2"/>
        <w:spacing w:line="240" w:lineRule="auto"/>
      </w:pPr>
      <w:r w:rsidRPr="006E3B6C">
        <w:lastRenderedPageBreak/>
        <w:t>Project Milestones</w:t>
      </w:r>
    </w:p>
    <w:tbl>
      <w:tblPr>
        <w:tblStyle w:val="Tablaconcuadrcula"/>
        <w:tblW w:w="0" w:type="auto"/>
        <w:tblLook w:val="04A0" w:firstRow="1" w:lastRow="0" w:firstColumn="1" w:lastColumn="0" w:noHBand="0" w:noVBand="1"/>
      </w:tblPr>
      <w:tblGrid>
        <w:gridCol w:w="3823"/>
        <w:gridCol w:w="2126"/>
      </w:tblGrid>
      <w:tr w:rsidR="002758C4" w14:paraId="480294C2" w14:textId="77777777" w:rsidTr="002758C4">
        <w:tc>
          <w:tcPr>
            <w:tcW w:w="3823" w:type="dxa"/>
          </w:tcPr>
          <w:p w14:paraId="38EB3E94" w14:textId="4140978E" w:rsidR="002758C4" w:rsidRPr="002758C4" w:rsidRDefault="002758C4" w:rsidP="006E3B6C">
            <w:pPr>
              <w:spacing w:line="240" w:lineRule="auto"/>
              <w:rPr>
                <w:b/>
                <w:bCs/>
              </w:rPr>
            </w:pPr>
            <w:r w:rsidRPr="002758C4">
              <w:rPr>
                <w:b/>
                <w:bCs/>
              </w:rPr>
              <w:t>Milestone Description</w:t>
            </w:r>
          </w:p>
        </w:tc>
        <w:tc>
          <w:tcPr>
            <w:tcW w:w="2126" w:type="dxa"/>
          </w:tcPr>
          <w:p w14:paraId="33CC8477" w14:textId="25665D06" w:rsidR="002758C4" w:rsidRPr="002758C4" w:rsidRDefault="002758C4" w:rsidP="002758C4">
            <w:pPr>
              <w:spacing w:line="240" w:lineRule="auto"/>
              <w:rPr>
                <w:b/>
                <w:bCs/>
              </w:rPr>
            </w:pPr>
            <w:r w:rsidRPr="002758C4">
              <w:rPr>
                <w:b/>
                <w:bCs/>
              </w:rPr>
              <w:t>Due Date</w:t>
            </w:r>
          </w:p>
        </w:tc>
      </w:tr>
      <w:tr w:rsidR="002758C4" w14:paraId="1786A43A" w14:textId="77777777" w:rsidTr="002758C4">
        <w:tc>
          <w:tcPr>
            <w:tcW w:w="3823" w:type="dxa"/>
          </w:tcPr>
          <w:p w14:paraId="2611B3EA" w14:textId="0B7CE1FC" w:rsidR="002758C4" w:rsidRDefault="002758C4" w:rsidP="002758C4">
            <w:pPr>
              <w:spacing w:line="240" w:lineRule="auto"/>
            </w:pPr>
            <w:r w:rsidRPr="00F13502">
              <w:t>Project Start</w:t>
            </w:r>
          </w:p>
        </w:tc>
        <w:tc>
          <w:tcPr>
            <w:tcW w:w="2126" w:type="dxa"/>
          </w:tcPr>
          <w:p w14:paraId="102FDEE5" w14:textId="31D04EEF" w:rsidR="002758C4" w:rsidRDefault="002758C4" w:rsidP="002758C4">
            <w:pPr>
              <w:spacing w:line="240" w:lineRule="auto"/>
            </w:pPr>
            <w:r>
              <w:t>11/01/2024</w:t>
            </w:r>
          </w:p>
        </w:tc>
      </w:tr>
      <w:tr w:rsidR="002758C4" w14:paraId="14723781" w14:textId="77777777" w:rsidTr="002758C4">
        <w:tc>
          <w:tcPr>
            <w:tcW w:w="3823" w:type="dxa"/>
          </w:tcPr>
          <w:p w14:paraId="2356FEEB" w14:textId="50F62F27" w:rsidR="002758C4" w:rsidRDefault="002758C4" w:rsidP="002758C4">
            <w:pPr>
              <w:spacing w:line="240" w:lineRule="auto"/>
            </w:pPr>
            <w:r w:rsidRPr="00F13502">
              <w:t>Home Studio Setup Completed</w:t>
            </w:r>
          </w:p>
        </w:tc>
        <w:tc>
          <w:tcPr>
            <w:tcW w:w="2126" w:type="dxa"/>
          </w:tcPr>
          <w:p w14:paraId="5B7E398A" w14:textId="0F7BC443" w:rsidR="002758C4" w:rsidRDefault="002758C4" w:rsidP="002758C4">
            <w:pPr>
              <w:spacing w:line="240" w:lineRule="auto"/>
            </w:pPr>
            <w:r w:rsidRPr="00F13502">
              <w:t>11/30/2024</w:t>
            </w:r>
          </w:p>
        </w:tc>
      </w:tr>
      <w:tr w:rsidR="002758C4" w14:paraId="788315A9" w14:textId="77777777" w:rsidTr="002758C4">
        <w:tc>
          <w:tcPr>
            <w:tcW w:w="3823" w:type="dxa"/>
          </w:tcPr>
          <w:p w14:paraId="7CC81791" w14:textId="1A24F0B2" w:rsidR="002758C4" w:rsidRDefault="002758C4" w:rsidP="002758C4">
            <w:pPr>
              <w:spacing w:line="240" w:lineRule="auto"/>
            </w:pPr>
            <w:r w:rsidRPr="00F13502">
              <w:t>Living Room Setup Completed</w:t>
            </w:r>
          </w:p>
        </w:tc>
        <w:tc>
          <w:tcPr>
            <w:tcW w:w="2126" w:type="dxa"/>
          </w:tcPr>
          <w:p w14:paraId="233D0F5D" w14:textId="1632928A" w:rsidR="002758C4" w:rsidRDefault="002758C4" w:rsidP="002758C4">
            <w:pPr>
              <w:spacing w:line="240" w:lineRule="auto"/>
            </w:pPr>
            <w:r w:rsidRPr="00F13502">
              <w:t>12/10/2024</w:t>
            </w:r>
          </w:p>
        </w:tc>
      </w:tr>
      <w:tr w:rsidR="002758C4" w14:paraId="7CFD4106" w14:textId="77777777" w:rsidTr="002758C4">
        <w:tc>
          <w:tcPr>
            <w:tcW w:w="3823" w:type="dxa"/>
          </w:tcPr>
          <w:p w14:paraId="57E2DB0C" w14:textId="2D2C829D" w:rsidR="002758C4" w:rsidRDefault="002758C4" w:rsidP="002758C4">
            <w:pPr>
              <w:spacing w:line="240" w:lineRule="auto"/>
            </w:pPr>
            <w:r w:rsidRPr="00F13502">
              <w:t>Main Room Setup Completed</w:t>
            </w:r>
          </w:p>
        </w:tc>
        <w:tc>
          <w:tcPr>
            <w:tcW w:w="2126" w:type="dxa"/>
          </w:tcPr>
          <w:p w14:paraId="34FA2F81" w14:textId="1F9B89A5" w:rsidR="002758C4" w:rsidRDefault="002758C4" w:rsidP="002758C4">
            <w:pPr>
              <w:spacing w:line="240" w:lineRule="auto"/>
            </w:pPr>
            <w:r w:rsidRPr="00F13502">
              <w:t>12/20/2024</w:t>
            </w:r>
          </w:p>
        </w:tc>
      </w:tr>
      <w:tr w:rsidR="002758C4" w14:paraId="1C24322A" w14:textId="77777777" w:rsidTr="002758C4">
        <w:tc>
          <w:tcPr>
            <w:tcW w:w="3823" w:type="dxa"/>
          </w:tcPr>
          <w:p w14:paraId="1AB4893B" w14:textId="2CFC32CB" w:rsidR="002758C4" w:rsidRDefault="002758C4" w:rsidP="002758C4">
            <w:pPr>
              <w:spacing w:line="240" w:lineRule="auto"/>
            </w:pPr>
            <w:r w:rsidRPr="00F13502">
              <w:t>Project Completion</w:t>
            </w:r>
          </w:p>
        </w:tc>
        <w:tc>
          <w:tcPr>
            <w:tcW w:w="2126" w:type="dxa"/>
          </w:tcPr>
          <w:p w14:paraId="1B014E43" w14:textId="4BCF7A29" w:rsidR="002758C4" w:rsidRDefault="002758C4" w:rsidP="002758C4">
            <w:pPr>
              <w:spacing w:line="240" w:lineRule="auto"/>
            </w:pPr>
            <w:r>
              <w:t>12/31/2024</w:t>
            </w:r>
          </w:p>
        </w:tc>
      </w:tr>
    </w:tbl>
    <w:p w14:paraId="74542B27" w14:textId="7DBBB6F2" w:rsidR="006E3B6C" w:rsidRDefault="006E3B6C" w:rsidP="006E3B6C">
      <w:pPr>
        <w:spacing w:line="240" w:lineRule="auto"/>
      </w:pPr>
    </w:p>
    <w:p w14:paraId="0D0D1A0C" w14:textId="79CEC7B3" w:rsidR="006E3B6C" w:rsidRDefault="005622D0" w:rsidP="005622D0">
      <w:pPr>
        <w:pStyle w:val="Ttulo2"/>
      </w:pPr>
      <w:r>
        <w:t>Project Cost Estimate</w:t>
      </w:r>
    </w:p>
    <w:p w14:paraId="0CD01265" w14:textId="045A9B61" w:rsidR="005622D0" w:rsidRDefault="005622D0" w:rsidP="005622D0">
      <w:pPr>
        <w:pStyle w:val="Ttulo3"/>
      </w:pPr>
      <w:r>
        <w:t>Preliminary Budget Estimate</w:t>
      </w:r>
    </w:p>
    <w:p w14:paraId="10154B2E" w14:textId="2674F23D" w:rsidR="005622D0" w:rsidRPr="005622D0" w:rsidRDefault="005622D0" w:rsidP="005622D0">
      <w:pPr>
        <w:spacing w:line="240" w:lineRule="auto"/>
        <w:rPr>
          <w:rFonts w:ascii="Noto Sans SemiBold" w:hAnsi="Noto Sans SemiBold" w:cs="Noto Sans SemiBold"/>
        </w:rPr>
      </w:pPr>
      <w:r w:rsidRPr="005622D0">
        <w:rPr>
          <w:rFonts w:ascii="Noto Sans SemiBold" w:hAnsi="Noto Sans SemiBold" w:cs="Noto Sans SemiBold"/>
        </w:rPr>
        <w:t>Home Studio Upgrades: $5,000</w:t>
      </w:r>
    </w:p>
    <w:p w14:paraId="1BF1DB4F" w14:textId="77777777" w:rsidR="005622D0" w:rsidRDefault="005622D0" w:rsidP="009107EB">
      <w:pPr>
        <w:pStyle w:val="Prrafodelista"/>
        <w:numPr>
          <w:ilvl w:val="0"/>
          <w:numId w:val="2"/>
        </w:numPr>
        <w:spacing w:line="240" w:lineRule="auto"/>
      </w:pPr>
      <w:r>
        <w:t>Desk and Computer Setup: Allocate around $1,500 for a quality desk and ergonomic computer setup, including a monitor, keyboard, and mouse.</w:t>
      </w:r>
    </w:p>
    <w:p w14:paraId="28773700" w14:textId="77777777" w:rsidR="005622D0" w:rsidRDefault="005622D0" w:rsidP="009107EB">
      <w:pPr>
        <w:pStyle w:val="Prrafodelista"/>
        <w:numPr>
          <w:ilvl w:val="0"/>
          <w:numId w:val="2"/>
        </w:numPr>
        <w:spacing w:line="240" w:lineRule="auto"/>
      </w:pPr>
      <w:r>
        <w:t>Library: Budget approximately $500 for shelving and storage solutions.</w:t>
      </w:r>
    </w:p>
    <w:p w14:paraId="0085B18D" w14:textId="77777777" w:rsidR="005622D0" w:rsidRDefault="005622D0" w:rsidP="009107EB">
      <w:pPr>
        <w:pStyle w:val="Prrafodelista"/>
        <w:numPr>
          <w:ilvl w:val="0"/>
          <w:numId w:val="2"/>
        </w:numPr>
        <w:spacing w:line="240" w:lineRule="auto"/>
      </w:pPr>
      <w:r>
        <w:t>Audio Equipment: Set aside $1,500 for microphones, speakers, and soundproofing materials.</w:t>
      </w:r>
    </w:p>
    <w:p w14:paraId="23F92AB1" w14:textId="77777777" w:rsidR="005622D0" w:rsidRDefault="005622D0" w:rsidP="009107EB">
      <w:pPr>
        <w:pStyle w:val="Prrafodelista"/>
        <w:numPr>
          <w:ilvl w:val="0"/>
          <w:numId w:val="2"/>
        </w:numPr>
        <w:spacing w:line="240" w:lineRule="auto"/>
      </w:pPr>
      <w:r>
        <w:t>Smart Lights: Estimate $500 for smart lighting solutions that can be controlled via apps or voice commands.</w:t>
      </w:r>
    </w:p>
    <w:p w14:paraId="28E7922F" w14:textId="77777777" w:rsidR="005622D0" w:rsidRDefault="005622D0" w:rsidP="009107EB">
      <w:pPr>
        <w:pStyle w:val="Prrafodelista"/>
        <w:numPr>
          <w:ilvl w:val="0"/>
          <w:numId w:val="2"/>
        </w:numPr>
        <w:spacing w:line="240" w:lineRule="auto"/>
      </w:pPr>
      <w:r>
        <w:t>Plants: Consider $200 for decorative plants to enhance the studio environment.</w:t>
      </w:r>
    </w:p>
    <w:p w14:paraId="56DFD7CC" w14:textId="6F7DE227" w:rsidR="005622D0" w:rsidRDefault="005622D0" w:rsidP="00965335">
      <w:pPr>
        <w:pStyle w:val="Ttulo4"/>
      </w:pPr>
      <w:r>
        <w:t>Living Room Renovations: $8,000</w:t>
      </w:r>
    </w:p>
    <w:p w14:paraId="64669093" w14:textId="77777777" w:rsidR="005622D0" w:rsidRDefault="005622D0" w:rsidP="009107EB">
      <w:pPr>
        <w:pStyle w:val="Prrafodelista"/>
        <w:numPr>
          <w:ilvl w:val="0"/>
          <w:numId w:val="3"/>
        </w:numPr>
        <w:spacing w:line="240" w:lineRule="auto"/>
      </w:pPr>
      <w:r>
        <w:t>Furniture: Plan for $3,000 to $4,000 for a sofa, coffee table, and other essential furniture pieces.</w:t>
      </w:r>
    </w:p>
    <w:p w14:paraId="4DC5494B" w14:textId="77777777" w:rsidR="005622D0" w:rsidRDefault="005622D0" w:rsidP="009107EB">
      <w:pPr>
        <w:pStyle w:val="Prrafodelista"/>
        <w:numPr>
          <w:ilvl w:val="0"/>
          <w:numId w:val="3"/>
        </w:numPr>
        <w:spacing w:line="240" w:lineRule="auto"/>
      </w:pPr>
      <w:r>
        <w:t>Appliances: Allocate $2,000 for new or upgraded appliances, such as a television or sound system.</w:t>
      </w:r>
    </w:p>
    <w:p w14:paraId="24999FAF" w14:textId="77777777" w:rsidR="005622D0" w:rsidRDefault="005622D0" w:rsidP="009107EB">
      <w:pPr>
        <w:pStyle w:val="Prrafodelista"/>
        <w:numPr>
          <w:ilvl w:val="0"/>
          <w:numId w:val="3"/>
        </w:numPr>
        <w:spacing w:line="240" w:lineRule="auto"/>
      </w:pPr>
      <w:r>
        <w:t>Lighting: Budget $1,000 for modern lighting fixtures.</w:t>
      </w:r>
    </w:p>
    <w:p w14:paraId="348FC375" w14:textId="77777777" w:rsidR="005622D0" w:rsidRDefault="005622D0" w:rsidP="009107EB">
      <w:pPr>
        <w:pStyle w:val="Prrafodelista"/>
        <w:numPr>
          <w:ilvl w:val="0"/>
          <w:numId w:val="3"/>
        </w:numPr>
        <w:spacing w:line="240" w:lineRule="auto"/>
      </w:pPr>
      <w:r>
        <w:t>Plants: Set aside $200 for indoor plants to improve aesthetics and air quality.</w:t>
      </w:r>
    </w:p>
    <w:p w14:paraId="0A4A32E7" w14:textId="4B59E3C2" w:rsidR="005622D0" w:rsidRDefault="005622D0" w:rsidP="00965335">
      <w:pPr>
        <w:pStyle w:val="Ttulo4"/>
      </w:pPr>
      <w:r>
        <w:t>Main Room Enhancements: $6,000</w:t>
      </w:r>
    </w:p>
    <w:p w14:paraId="5B8F81C3" w14:textId="77777777" w:rsidR="005622D0" w:rsidRDefault="005622D0" w:rsidP="009107EB">
      <w:pPr>
        <w:pStyle w:val="Prrafodelista"/>
        <w:numPr>
          <w:ilvl w:val="0"/>
          <w:numId w:val="4"/>
        </w:numPr>
        <w:spacing w:line="240" w:lineRule="auto"/>
      </w:pPr>
      <w:r>
        <w:t>Furniture: Estimate $3,000 for essential furniture like a bed, dresser, and seating.</w:t>
      </w:r>
    </w:p>
    <w:p w14:paraId="2B71F85F" w14:textId="77777777" w:rsidR="005622D0" w:rsidRDefault="005622D0" w:rsidP="009107EB">
      <w:pPr>
        <w:pStyle w:val="Prrafodelista"/>
        <w:numPr>
          <w:ilvl w:val="0"/>
          <w:numId w:val="4"/>
        </w:numPr>
        <w:spacing w:line="240" w:lineRule="auto"/>
      </w:pPr>
      <w:r>
        <w:t>Lighting: Allocate $1,000 for ambient and task lighting.</w:t>
      </w:r>
    </w:p>
    <w:p w14:paraId="4E5228E1" w14:textId="77777777" w:rsidR="005622D0" w:rsidRDefault="005622D0" w:rsidP="009107EB">
      <w:pPr>
        <w:pStyle w:val="Prrafodelista"/>
        <w:numPr>
          <w:ilvl w:val="0"/>
          <w:numId w:val="4"/>
        </w:numPr>
        <w:spacing w:line="240" w:lineRule="auto"/>
      </w:pPr>
      <w:r>
        <w:t>Window Treatments: Plan for $1,000 to $2,000 for curtains, blinds, or shades.</w:t>
      </w:r>
    </w:p>
    <w:p w14:paraId="40F72DCF" w14:textId="52837167" w:rsidR="005622D0" w:rsidRDefault="005622D0" w:rsidP="00965335">
      <w:pPr>
        <w:pStyle w:val="Ttulo4"/>
      </w:pPr>
      <w:r>
        <w:lastRenderedPageBreak/>
        <w:t>IoT Devices: $1,000</w:t>
      </w:r>
    </w:p>
    <w:p w14:paraId="65A53184" w14:textId="77777777" w:rsidR="005622D0" w:rsidRDefault="005622D0" w:rsidP="009107EB">
      <w:pPr>
        <w:pStyle w:val="Prrafodelista"/>
        <w:numPr>
          <w:ilvl w:val="0"/>
          <w:numId w:val="5"/>
        </w:numPr>
        <w:spacing w:line="240" w:lineRule="auto"/>
      </w:pPr>
      <w:r>
        <w:t>Smart Hubs: Budget $300 for a central hub to control smart devices.</w:t>
      </w:r>
    </w:p>
    <w:p w14:paraId="23078A38" w14:textId="0D69948F" w:rsidR="005622D0" w:rsidRDefault="005622D0" w:rsidP="009107EB">
      <w:pPr>
        <w:pStyle w:val="Prrafodelista"/>
        <w:numPr>
          <w:ilvl w:val="0"/>
          <w:numId w:val="5"/>
        </w:numPr>
        <w:spacing w:line="240" w:lineRule="auto"/>
      </w:pPr>
      <w:r>
        <w:t>Sensors and Controllers: Allocate $700 for various sensors (e.g., temperature, motion) and controllers to automate home functions.</w:t>
      </w:r>
    </w:p>
    <w:p w14:paraId="543401DA" w14:textId="2FA010AF" w:rsidR="002758C4" w:rsidRDefault="005622D0" w:rsidP="009107EB">
      <w:pPr>
        <w:pStyle w:val="Prrafodelista"/>
        <w:numPr>
          <w:ilvl w:val="0"/>
          <w:numId w:val="5"/>
        </w:numPr>
        <w:spacing w:line="240" w:lineRule="auto"/>
      </w:pPr>
      <w:r w:rsidRPr="005622D0">
        <w:t>The estimates are based on market research, vendor quotes, and similar past projects, with an allowance for unexpected costs.</w:t>
      </w:r>
    </w:p>
    <w:p w14:paraId="21E30CB8" w14:textId="11C878B0" w:rsidR="00965335" w:rsidRDefault="00965335" w:rsidP="00CF4B45">
      <w:pPr>
        <w:pStyle w:val="Ttulo2"/>
      </w:pPr>
      <w:r>
        <w:t>Project Stakeholders</w:t>
      </w:r>
    </w:p>
    <w:p w14:paraId="328AB366" w14:textId="77777777" w:rsidR="00077CF9" w:rsidRPr="00077CF9" w:rsidRDefault="00077CF9" w:rsidP="000D6262">
      <w:r w:rsidRPr="00077CF9">
        <w:t>Customer (Homeowner) – The primary decision-maker with vested interest in the success of the project. Defines the project’s vision, approves key deliverables, and ensures it aligns with personal goals and needs.</w:t>
      </w:r>
    </w:p>
    <w:p w14:paraId="0E1121CE" w14:textId="77777777" w:rsidR="00077CF9" w:rsidRPr="00077CF9" w:rsidRDefault="00077CF9" w:rsidP="000D6262">
      <w:r w:rsidRPr="00077CF9">
        <w:t>Project Sponsor – Provides financial and strategic support for the project, ensures alignment with high-level objectives, and removes obstacles to the project’s success.</w:t>
      </w:r>
    </w:p>
    <w:p w14:paraId="64CB1F2C" w14:textId="77777777" w:rsidR="00077CF9" w:rsidRDefault="00077CF9" w:rsidP="000D6262">
      <w:pPr>
        <w:rPr>
          <w:b/>
        </w:rPr>
      </w:pPr>
      <w:r w:rsidRPr="00077CF9">
        <w:t>Project Manager – Responsible for planning, executing, and monitoring the project to ensure it stays within scope, budget, and timeline. Coordinates all activities, including vendor management, resource allocation, and stakeholder communication.</w:t>
      </w:r>
    </w:p>
    <w:p w14:paraId="3E1FD8F8" w14:textId="4262D67C" w:rsidR="00774F00" w:rsidRDefault="000553CF" w:rsidP="00077CF9">
      <w:pPr>
        <w:pStyle w:val="Ttulo2"/>
      </w:pPr>
      <w:r w:rsidRPr="009F1794">
        <w:t xml:space="preserve">Approval Signatures </w:t>
      </w:r>
    </w:p>
    <w:p w14:paraId="19182D3B" w14:textId="77777777" w:rsidR="009107EB" w:rsidRPr="009107EB" w:rsidRDefault="009107EB" w:rsidP="009107EB"/>
    <w:tbl>
      <w:tblPr>
        <w:tblStyle w:val="a2"/>
        <w:tblW w:w="9639" w:type="dxa"/>
        <w:jc w:val="center"/>
        <w:tblBorders>
          <w:insideH w:val="single" w:sz="4" w:space="0" w:color="000000"/>
        </w:tblBorders>
        <w:tblLayout w:type="fixed"/>
        <w:tblLook w:val="0400" w:firstRow="0" w:lastRow="0" w:firstColumn="0" w:lastColumn="0" w:noHBand="0" w:noVBand="1"/>
      </w:tblPr>
      <w:tblGrid>
        <w:gridCol w:w="2881"/>
        <w:gridCol w:w="555"/>
        <w:gridCol w:w="2908"/>
        <w:gridCol w:w="555"/>
        <w:gridCol w:w="2740"/>
      </w:tblGrid>
      <w:tr w:rsidR="00774F00" w:rsidRPr="009F1794" w14:paraId="5F9BE6BC" w14:textId="77777777">
        <w:trPr>
          <w:jc w:val="center"/>
        </w:trPr>
        <w:tc>
          <w:tcPr>
            <w:tcW w:w="2881" w:type="dxa"/>
            <w:shd w:val="clear" w:color="auto" w:fill="auto"/>
          </w:tcPr>
          <w:p w14:paraId="66D37B8E" w14:textId="77777777" w:rsidR="00774F00" w:rsidRPr="009F1794" w:rsidRDefault="00774F00" w:rsidP="006E3B6C">
            <w:pPr>
              <w:spacing w:line="240" w:lineRule="auto"/>
            </w:pPr>
          </w:p>
        </w:tc>
        <w:tc>
          <w:tcPr>
            <w:tcW w:w="555" w:type="dxa"/>
            <w:tcBorders>
              <w:bottom w:val="nil"/>
            </w:tcBorders>
            <w:shd w:val="clear" w:color="auto" w:fill="auto"/>
          </w:tcPr>
          <w:p w14:paraId="5A37F224" w14:textId="77777777" w:rsidR="00774F00" w:rsidRPr="009F1794" w:rsidRDefault="00774F00" w:rsidP="006E3B6C">
            <w:pPr>
              <w:spacing w:line="240" w:lineRule="auto"/>
            </w:pPr>
          </w:p>
        </w:tc>
        <w:tc>
          <w:tcPr>
            <w:tcW w:w="2908" w:type="dxa"/>
            <w:shd w:val="clear" w:color="auto" w:fill="auto"/>
          </w:tcPr>
          <w:p w14:paraId="2F513D13" w14:textId="77777777" w:rsidR="00774F00" w:rsidRPr="009F1794" w:rsidRDefault="00774F00" w:rsidP="006E3B6C">
            <w:pPr>
              <w:spacing w:line="240" w:lineRule="auto"/>
            </w:pPr>
          </w:p>
        </w:tc>
        <w:tc>
          <w:tcPr>
            <w:tcW w:w="555" w:type="dxa"/>
            <w:tcBorders>
              <w:top w:val="nil"/>
              <w:bottom w:val="nil"/>
            </w:tcBorders>
            <w:shd w:val="clear" w:color="auto" w:fill="auto"/>
          </w:tcPr>
          <w:p w14:paraId="5AA0CE41" w14:textId="77777777" w:rsidR="00774F00" w:rsidRPr="009F1794" w:rsidRDefault="00774F00" w:rsidP="006E3B6C">
            <w:pPr>
              <w:spacing w:line="240" w:lineRule="auto"/>
            </w:pPr>
          </w:p>
        </w:tc>
        <w:tc>
          <w:tcPr>
            <w:tcW w:w="2740" w:type="dxa"/>
            <w:shd w:val="clear" w:color="auto" w:fill="auto"/>
          </w:tcPr>
          <w:p w14:paraId="661570F9" w14:textId="77777777" w:rsidR="00774F00" w:rsidRPr="009F1794" w:rsidRDefault="00774F00" w:rsidP="006E3B6C">
            <w:pPr>
              <w:spacing w:line="240" w:lineRule="auto"/>
            </w:pPr>
          </w:p>
        </w:tc>
      </w:tr>
      <w:tr w:rsidR="00774F00" w:rsidRPr="009F1794" w14:paraId="6FA60382" w14:textId="77777777">
        <w:trPr>
          <w:jc w:val="center"/>
        </w:trPr>
        <w:tc>
          <w:tcPr>
            <w:tcW w:w="2881" w:type="dxa"/>
            <w:shd w:val="clear" w:color="auto" w:fill="auto"/>
          </w:tcPr>
          <w:p w14:paraId="7AEF91CF" w14:textId="65F0CD00" w:rsidR="00774F00" w:rsidRPr="009F1794" w:rsidRDefault="000553CF" w:rsidP="006E3B6C">
            <w:pPr>
              <w:spacing w:line="240" w:lineRule="auto"/>
            </w:pPr>
            <w:r w:rsidRPr="009F1794">
              <w:t>Customer</w:t>
            </w:r>
          </w:p>
        </w:tc>
        <w:tc>
          <w:tcPr>
            <w:tcW w:w="555" w:type="dxa"/>
            <w:tcBorders>
              <w:top w:val="nil"/>
              <w:bottom w:val="nil"/>
            </w:tcBorders>
            <w:shd w:val="clear" w:color="auto" w:fill="auto"/>
          </w:tcPr>
          <w:p w14:paraId="53B9B865" w14:textId="77777777" w:rsidR="00774F00" w:rsidRPr="009F1794" w:rsidRDefault="00774F00" w:rsidP="006E3B6C">
            <w:pPr>
              <w:spacing w:line="240" w:lineRule="auto"/>
            </w:pPr>
          </w:p>
        </w:tc>
        <w:tc>
          <w:tcPr>
            <w:tcW w:w="2908" w:type="dxa"/>
            <w:shd w:val="clear" w:color="auto" w:fill="auto"/>
          </w:tcPr>
          <w:p w14:paraId="16E3E0D2" w14:textId="0D2FD3AF" w:rsidR="00774F00" w:rsidRPr="009F1794" w:rsidRDefault="000553CF" w:rsidP="006E3B6C">
            <w:pPr>
              <w:spacing w:line="240" w:lineRule="auto"/>
            </w:pPr>
            <w:r w:rsidRPr="009F1794">
              <w:t>Project Man</w:t>
            </w:r>
            <w:r w:rsidR="009C4E6D" w:rsidRPr="009F1794">
              <w:t>a</w:t>
            </w:r>
            <w:r w:rsidRPr="009F1794">
              <w:t>ger</w:t>
            </w:r>
          </w:p>
        </w:tc>
        <w:tc>
          <w:tcPr>
            <w:tcW w:w="555" w:type="dxa"/>
            <w:tcBorders>
              <w:top w:val="nil"/>
            </w:tcBorders>
            <w:shd w:val="clear" w:color="auto" w:fill="auto"/>
          </w:tcPr>
          <w:p w14:paraId="3F34A1DE" w14:textId="77777777" w:rsidR="00774F00" w:rsidRPr="009F1794" w:rsidRDefault="00774F00" w:rsidP="006E3B6C">
            <w:pPr>
              <w:spacing w:line="240" w:lineRule="auto"/>
            </w:pPr>
          </w:p>
        </w:tc>
        <w:tc>
          <w:tcPr>
            <w:tcW w:w="2740" w:type="dxa"/>
            <w:shd w:val="clear" w:color="auto" w:fill="auto"/>
          </w:tcPr>
          <w:p w14:paraId="6132A9B9" w14:textId="77777777" w:rsidR="00774F00" w:rsidRPr="009F1794" w:rsidRDefault="000553CF" w:rsidP="006E3B6C">
            <w:pPr>
              <w:spacing w:line="240" w:lineRule="auto"/>
            </w:pPr>
            <w:r w:rsidRPr="009F1794">
              <w:t>Project Sponsor</w:t>
            </w:r>
          </w:p>
        </w:tc>
      </w:tr>
    </w:tbl>
    <w:p w14:paraId="4EE1823E" w14:textId="77777777" w:rsidR="00774F00" w:rsidRPr="009F1794" w:rsidRDefault="00774F00" w:rsidP="009107EB">
      <w:pPr>
        <w:spacing w:line="240" w:lineRule="auto"/>
      </w:pPr>
    </w:p>
    <w:sectPr w:rsidR="00774F00" w:rsidRPr="009F1794" w:rsidSect="00CF4B45">
      <w:footerReference w:type="default" r:id="rId9"/>
      <w:pgSz w:w="11906" w:h="16838"/>
      <w:pgMar w:top="1417" w:right="1701" w:bottom="1417"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3871" w14:textId="77777777" w:rsidR="007F2D66" w:rsidRDefault="007F2D66" w:rsidP="000A265A">
      <w:r>
        <w:separator/>
      </w:r>
    </w:p>
  </w:endnote>
  <w:endnote w:type="continuationSeparator" w:id="0">
    <w:p w14:paraId="5F13C8EE" w14:textId="77777777" w:rsidR="007F2D66" w:rsidRDefault="007F2D66" w:rsidP="000A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auto"/>
    <w:pitch w:val="variable"/>
    <w:sig w:usb0="00000003" w:usb1="0200E4B4" w:usb2="00000000" w:usb3="00000000" w:csb0="00000001" w:csb1="00000000"/>
  </w:font>
  <w:font w:name="Calibri">
    <w:panose1 w:val="020F0502020204030204"/>
    <w:charset w:val="00"/>
    <w:family w:val="swiss"/>
    <w:pitch w:val="variable"/>
    <w:sig w:usb0="E1002AFF" w:usb1="4000ACFF" w:usb2="00000009" w:usb3="00000000" w:csb0="000001FF"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AFF" w:usb1="C0007843" w:usb2="00000009" w:usb3="00000000" w:csb0="000001FF" w:csb1="00000000"/>
  </w:font>
  <w:font w:name="Noto Sans Black">
    <w:panose1 w:val="020B0502040504020204"/>
    <w:charset w:val="00"/>
    <w:family w:val="swiss"/>
    <w:pitch w:val="variable"/>
    <w:sig w:usb0="E00002FF" w:usb1="4000201F" w:usb2="08000029" w:usb3="00000000" w:csb0="0000019F" w:csb1="00000000"/>
  </w:font>
  <w:font w:name="Noto Sans SemiBold">
    <w:panose1 w:val="020B0502040504020204"/>
    <w:charset w:val="00"/>
    <w:family w:val="swiss"/>
    <w:pitch w:val="variable"/>
    <w:sig w:usb0="E00002FF" w:usb1="4000201F" w:usb2="08000029" w:usb3="00000000" w:csb0="0000019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289463"/>
      <w:docPartObj>
        <w:docPartGallery w:val="Page Numbers (Bottom of Page)"/>
        <w:docPartUnique/>
      </w:docPartObj>
    </w:sdtPr>
    <w:sdtContent>
      <w:p w14:paraId="60BDA1A6" w14:textId="296A86D7" w:rsidR="00077CF9" w:rsidRDefault="00077CF9">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39FC" w14:textId="77777777" w:rsidR="007F2D66" w:rsidRDefault="007F2D66" w:rsidP="000A265A">
      <w:r>
        <w:separator/>
      </w:r>
    </w:p>
  </w:footnote>
  <w:footnote w:type="continuationSeparator" w:id="0">
    <w:p w14:paraId="28DCD62A" w14:textId="77777777" w:rsidR="007F2D66" w:rsidRDefault="007F2D66" w:rsidP="000A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A59"/>
    <w:multiLevelType w:val="hybridMultilevel"/>
    <w:tmpl w:val="B23AF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1A0239"/>
    <w:multiLevelType w:val="hybridMultilevel"/>
    <w:tmpl w:val="FE3C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6E0CE6"/>
    <w:multiLevelType w:val="hybridMultilevel"/>
    <w:tmpl w:val="FEE0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9044A6"/>
    <w:multiLevelType w:val="hybridMultilevel"/>
    <w:tmpl w:val="A8D68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173F39"/>
    <w:multiLevelType w:val="hybridMultilevel"/>
    <w:tmpl w:val="5D9EF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B2974FF"/>
    <w:multiLevelType w:val="multilevel"/>
    <w:tmpl w:val="46E642AC"/>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9AE06E3"/>
    <w:multiLevelType w:val="hybridMultilevel"/>
    <w:tmpl w:val="C6A43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F00"/>
    <w:rsid w:val="000553CF"/>
    <w:rsid w:val="00077CF9"/>
    <w:rsid w:val="000A265A"/>
    <w:rsid w:val="000D6262"/>
    <w:rsid w:val="002758C4"/>
    <w:rsid w:val="0031372F"/>
    <w:rsid w:val="00343440"/>
    <w:rsid w:val="005622D0"/>
    <w:rsid w:val="006E3B6C"/>
    <w:rsid w:val="00774F00"/>
    <w:rsid w:val="007F2D66"/>
    <w:rsid w:val="009107EB"/>
    <w:rsid w:val="00965335"/>
    <w:rsid w:val="009C4E6D"/>
    <w:rsid w:val="009F1794"/>
    <w:rsid w:val="00B57D46"/>
    <w:rsid w:val="00BD6B59"/>
    <w:rsid w:val="00CF4B45"/>
    <w:rsid w:val="00D9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D92"/>
  <w15:docId w15:val="{007904F3-D401-8443-B0DA-CEC77B89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C4"/>
    <w:rPr>
      <w:rFonts w:ascii="Noto Sans" w:eastAsia="Arial" w:hAnsi="Noto Sans" w:cs="Noto Sans"/>
      <w:iCs/>
    </w:rPr>
  </w:style>
  <w:style w:type="paragraph" w:styleId="Ttulo1">
    <w:name w:val="heading 1"/>
    <w:basedOn w:val="Normal"/>
    <w:next w:val="Normal"/>
    <w:link w:val="Ttulo1Car"/>
    <w:uiPriority w:val="9"/>
    <w:qFormat/>
    <w:rsid w:val="000A265A"/>
    <w:pPr>
      <w:keepNext/>
      <w:keepLines/>
      <w:spacing w:before="240" w:after="0"/>
      <w:outlineLvl w:val="0"/>
    </w:pPr>
    <w:rPr>
      <w:rFonts w:ascii="Noto Sans Black" w:hAnsi="Noto Sans Black" w:cs="Noto Sans Black"/>
      <w:sz w:val="32"/>
      <w:szCs w:val="32"/>
    </w:rPr>
  </w:style>
  <w:style w:type="paragraph" w:styleId="Ttulo2">
    <w:name w:val="heading 2"/>
    <w:basedOn w:val="Normal"/>
    <w:next w:val="Normal"/>
    <w:link w:val="Ttulo2Car"/>
    <w:uiPriority w:val="9"/>
    <w:unhideWhenUsed/>
    <w:qFormat/>
    <w:rsid w:val="000A265A"/>
    <w:pPr>
      <w:outlineLvl w:val="1"/>
    </w:pPr>
    <w:rPr>
      <w:rFonts w:ascii="Noto Sans SemiBold" w:hAnsi="Noto Sans SemiBold" w:cs="Noto Sans SemiBold"/>
      <w:b/>
      <w:color w:val="000000"/>
      <w:sz w:val="24"/>
      <w:szCs w:val="24"/>
    </w:rPr>
  </w:style>
  <w:style w:type="paragraph" w:styleId="Ttulo3">
    <w:name w:val="heading 3"/>
    <w:basedOn w:val="Normal"/>
    <w:next w:val="Normal"/>
    <w:uiPriority w:val="9"/>
    <w:unhideWhenUsed/>
    <w:qFormat/>
    <w:rsid w:val="000A265A"/>
    <w:pPr>
      <w:outlineLvl w:val="2"/>
    </w:pPr>
    <w:rPr>
      <w:rFonts w:ascii="Noto Sans SemiBold" w:hAnsi="Noto Sans SemiBold" w:cs="Noto Sans SemiBold"/>
      <w:bCs/>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7FE5"/>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805D7"/>
    <w:pPr>
      <w:ind w:left="720"/>
      <w:contextualSpacing/>
    </w:pPr>
  </w:style>
  <w:style w:type="table" w:styleId="Tablaconcuadrcula">
    <w:name w:val="Table Grid"/>
    <w:basedOn w:val="Tabla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1E8A"/>
    <w:pPr>
      <w:tabs>
        <w:tab w:val="center" w:pos="4819"/>
        <w:tab w:val="right" w:pos="9639"/>
      </w:tabs>
      <w:spacing w:after="0" w:line="240" w:lineRule="auto"/>
    </w:pPr>
  </w:style>
  <w:style w:type="character" w:customStyle="1" w:styleId="EncabezadoCar">
    <w:name w:val="Encabezado Car"/>
    <w:basedOn w:val="Fuentedeprrafopredeter"/>
    <w:link w:val="Encabezado"/>
    <w:uiPriority w:val="99"/>
    <w:rsid w:val="000D1E8A"/>
  </w:style>
  <w:style w:type="paragraph" w:styleId="Piedepgina">
    <w:name w:val="footer"/>
    <w:basedOn w:val="Normal"/>
    <w:link w:val="PiedepginaCar"/>
    <w:uiPriority w:val="99"/>
    <w:unhideWhenUsed/>
    <w:rsid w:val="000D1E8A"/>
    <w:pPr>
      <w:tabs>
        <w:tab w:val="center" w:pos="4819"/>
        <w:tab w:val="right" w:pos="9639"/>
      </w:tabs>
      <w:spacing w:after="0" w:line="240" w:lineRule="auto"/>
    </w:pPr>
  </w:style>
  <w:style w:type="character" w:customStyle="1" w:styleId="PiedepginaCar">
    <w:name w:val="Pie de página Car"/>
    <w:basedOn w:val="Fuentedeprrafopredeter"/>
    <w:link w:val="Piedepgina"/>
    <w:uiPriority w:val="99"/>
    <w:rsid w:val="000D1E8A"/>
  </w:style>
  <w:style w:type="character" w:styleId="Hipervnculo">
    <w:name w:val="Hyperlink"/>
    <w:uiPriority w:val="99"/>
    <w:unhideWhenUsed/>
    <w:rsid w:val="001E4DE2"/>
    <w:rPr>
      <w:color w:val="0000FF"/>
      <w:u w:val="single"/>
    </w:rPr>
  </w:style>
  <w:style w:type="character" w:customStyle="1" w:styleId="Ttulo1Car">
    <w:name w:val="Título 1 Car"/>
    <w:basedOn w:val="Fuentedeprrafopredeter"/>
    <w:link w:val="Ttulo1"/>
    <w:uiPriority w:val="9"/>
    <w:rsid w:val="000A265A"/>
    <w:rPr>
      <w:rFonts w:ascii="Noto Sans Black" w:eastAsia="Arial" w:hAnsi="Noto Sans Black" w:cs="Noto Sans Black"/>
      <w:sz w:val="32"/>
      <w:szCs w:val="32"/>
    </w:rPr>
  </w:style>
  <w:style w:type="character" w:customStyle="1" w:styleId="TtuloCar">
    <w:name w:val="Título Car"/>
    <w:basedOn w:val="Fuentedeprrafopredeter"/>
    <w:link w:val="Ttulo"/>
    <w:uiPriority w:val="10"/>
    <w:rsid w:val="00C97FE5"/>
    <w:rPr>
      <w:rFonts w:asciiTheme="majorHAnsi" w:eastAsiaTheme="majorEastAsia" w:hAnsiTheme="majorHAnsi" w:cstheme="majorBidi"/>
      <w:spacing w:val="-10"/>
      <w:kern w:val="28"/>
      <w:sz w:val="56"/>
      <w:szCs w:val="56"/>
      <w:lang w:val="uk-UA"/>
    </w:rPr>
  </w:style>
  <w:style w:type="table" w:styleId="Tablaconcuadrcula1clara-nfasis1">
    <w:name w:val="Grid Table 1 Light Accent 1"/>
    <w:basedOn w:val="Tablanormal"/>
    <w:uiPriority w:val="46"/>
    <w:rsid w:val="00CB003A"/>
    <w:tblPr>
      <w:tblStyleRowBandSize w:val="1"/>
      <w:tblStyleColBandSize w:val="1"/>
      <w:tblBorders>
        <w:top w:val="single" w:sz="4" w:space="0" w:color="D7E5E4" w:themeColor="accent1" w:themeTint="66"/>
        <w:left w:val="single" w:sz="4" w:space="0" w:color="D7E5E4" w:themeColor="accent1" w:themeTint="66"/>
        <w:bottom w:val="single" w:sz="4" w:space="0" w:color="D7E5E4" w:themeColor="accent1" w:themeTint="66"/>
        <w:right w:val="single" w:sz="4" w:space="0" w:color="D7E5E4" w:themeColor="accent1" w:themeTint="66"/>
        <w:insideH w:val="single" w:sz="4" w:space="0" w:color="D7E5E4" w:themeColor="accent1" w:themeTint="66"/>
        <w:insideV w:val="single" w:sz="4" w:space="0" w:color="D7E5E4" w:themeColor="accent1" w:themeTint="66"/>
      </w:tblBorders>
    </w:tblPr>
    <w:tblStylePr w:type="firstRow">
      <w:rPr>
        <w:b/>
        <w:bCs/>
      </w:rPr>
      <w:tblPr/>
      <w:tcPr>
        <w:tcBorders>
          <w:bottom w:val="single" w:sz="12" w:space="0" w:color="C3D8D7" w:themeColor="accent1" w:themeTint="99"/>
        </w:tcBorders>
      </w:tcPr>
    </w:tblStylePr>
    <w:tblStylePr w:type="lastRow">
      <w:rPr>
        <w:b/>
        <w:bCs/>
      </w:rPr>
      <w:tblPr/>
      <w:tcPr>
        <w:tcBorders>
          <w:top w:val="double" w:sz="2" w:space="0" w:color="C3D8D7"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9A35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BE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BE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BE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BEBD" w:themeFill="accent1"/>
      </w:tcPr>
    </w:tblStylePr>
    <w:tblStylePr w:type="band1Vert">
      <w:tblPr/>
      <w:tcPr>
        <w:shd w:val="clear" w:color="auto" w:fill="D7E5E4" w:themeFill="accent1" w:themeFillTint="66"/>
      </w:tcPr>
    </w:tblStylePr>
    <w:tblStylePr w:type="band1Horz">
      <w:tblPr/>
      <w:tcPr>
        <w:shd w:val="clear" w:color="auto" w:fill="D7E5E4" w:themeFill="accent1" w:themeFillTint="66"/>
      </w:tcPr>
    </w:tblStylePr>
  </w:style>
  <w:style w:type="table" w:styleId="Tablaconcuadrcula4-nfasis1">
    <w:name w:val="Grid Table 4 Accent 1"/>
    <w:basedOn w:val="Tablanormal"/>
    <w:uiPriority w:val="49"/>
    <w:rsid w:val="009A3598"/>
    <w:tblPr>
      <w:tblStyleRowBandSize w:val="1"/>
      <w:tblStyleColBandSize w:val="1"/>
      <w:tblBorders>
        <w:top w:val="single" w:sz="4" w:space="0" w:color="C3D8D7" w:themeColor="accent1" w:themeTint="99"/>
        <w:left w:val="single" w:sz="4" w:space="0" w:color="C3D8D7" w:themeColor="accent1" w:themeTint="99"/>
        <w:bottom w:val="single" w:sz="4" w:space="0" w:color="C3D8D7" w:themeColor="accent1" w:themeTint="99"/>
        <w:right w:val="single" w:sz="4" w:space="0" w:color="C3D8D7" w:themeColor="accent1" w:themeTint="99"/>
        <w:insideH w:val="single" w:sz="4" w:space="0" w:color="C3D8D7" w:themeColor="accent1" w:themeTint="99"/>
        <w:insideV w:val="single" w:sz="4" w:space="0" w:color="C3D8D7" w:themeColor="accent1" w:themeTint="99"/>
      </w:tblBorders>
    </w:tblPr>
    <w:tblStylePr w:type="firstRow">
      <w:rPr>
        <w:b/>
        <w:bCs/>
        <w:color w:val="FFFFFF" w:themeColor="background1"/>
      </w:rPr>
      <w:tblPr/>
      <w:tcPr>
        <w:tcBorders>
          <w:top w:val="single" w:sz="4" w:space="0" w:color="9CBEBD" w:themeColor="accent1"/>
          <w:left w:val="single" w:sz="4" w:space="0" w:color="9CBEBD" w:themeColor="accent1"/>
          <w:bottom w:val="single" w:sz="4" w:space="0" w:color="9CBEBD" w:themeColor="accent1"/>
          <w:right w:val="single" w:sz="4" w:space="0" w:color="9CBEBD" w:themeColor="accent1"/>
          <w:insideH w:val="nil"/>
          <w:insideV w:val="nil"/>
        </w:tcBorders>
        <w:shd w:val="clear" w:color="auto" w:fill="9CBEBD" w:themeFill="accent1"/>
      </w:tcPr>
    </w:tblStylePr>
    <w:tblStylePr w:type="lastRow">
      <w:rPr>
        <w:b/>
        <w:bCs/>
      </w:rPr>
      <w:tblPr/>
      <w:tcPr>
        <w:tcBorders>
          <w:top w:val="double" w:sz="4" w:space="0" w:color="9CBEBD" w:themeColor="accent1"/>
        </w:tcBorders>
      </w:tcPr>
    </w:tblStylePr>
    <w:tblStylePr w:type="firstCol">
      <w:rPr>
        <w:b/>
        <w:bCs/>
      </w:rPr>
    </w:tblStylePr>
    <w:tblStylePr w:type="lastCol">
      <w:rPr>
        <w:b/>
        <w:bCs/>
      </w:rPr>
    </w:tblStylePr>
    <w:tblStylePr w:type="band1Vert">
      <w:tblPr/>
      <w:tcPr>
        <w:shd w:val="clear" w:color="auto" w:fill="EBF2F1" w:themeFill="accent1" w:themeFillTint="33"/>
      </w:tcPr>
    </w:tblStylePr>
    <w:tblStylePr w:type="band1Horz">
      <w:tblPr/>
      <w:tcPr>
        <w:shd w:val="clear" w:color="auto" w:fill="EBF2F1" w:themeFill="accent1" w:themeFillTint="33"/>
      </w:tcPr>
    </w:tblStylePr>
  </w:style>
  <w:style w:type="table" w:styleId="Listaclara-nfasis1">
    <w:name w:val="Light List Accent 1"/>
    <w:basedOn w:val="Tablanormal"/>
    <w:uiPriority w:val="61"/>
    <w:rsid w:val="009A3598"/>
    <w:tblPr>
      <w:tblStyleRowBandSize w:val="1"/>
      <w:tblStyleColBandSize w:val="1"/>
      <w:tblBorders>
        <w:top w:val="single" w:sz="8" w:space="0" w:color="9CBEBD" w:themeColor="accent1"/>
        <w:left w:val="single" w:sz="8" w:space="0" w:color="9CBEBD" w:themeColor="accent1"/>
        <w:bottom w:val="single" w:sz="8" w:space="0" w:color="9CBEBD" w:themeColor="accent1"/>
        <w:right w:val="single" w:sz="8" w:space="0" w:color="9CBEBD" w:themeColor="accent1"/>
      </w:tblBorders>
    </w:tblPr>
    <w:tblStylePr w:type="firstRow">
      <w:pPr>
        <w:spacing w:before="0" w:after="0" w:line="240" w:lineRule="auto"/>
      </w:pPr>
      <w:rPr>
        <w:b/>
        <w:bCs/>
        <w:color w:val="FFFFFF" w:themeColor="background1"/>
      </w:rPr>
      <w:tblPr/>
      <w:tcPr>
        <w:shd w:val="clear" w:color="auto" w:fill="9CBEBD" w:themeFill="accent1"/>
      </w:tcPr>
    </w:tblStylePr>
    <w:tblStylePr w:type="lastRow">
      <w:pPr>
        <w:spacing w:before="0" w:after="0" w:line="240" w:lineRule="auto"/>
      </w:pPr>
      <w:rPr>
        <w:b/>
        <w:bCs/>
      </w:rPr>
      <w:tblPr/>
      <w:tcPr>
        <w:tcBorders>
          <w:top w:val="double" w:sz="6" w:space="0" w:color="9CBEBD" w:themeColor="accent1"/>
          <w:left w:val="single" w:sz="8" w:space="0" w:color="9CBEBD" w:themeColor="accent1"/>
          <w:bottom w:val="single" w:sz="8" w:space="0" w:color="9CBEBD" w:themeColor="accent1"/>
          <w:right w:val="single" w:sz="8" w:space="0" w:color="9CBEBD" w:themeColor="accent1"/>
        </w:tcBorders>
      </w:tcPr>
    </w:tblStylePr>
    <w:tblStylePr w:type="firstCol">
      <w:rPr>
        <w:b/>
        <w:bCs/>
      </w:rPr>
    </w:tblStylePr>
    <w:tblStylePr w:type="lastCol">
      <w:rPr>
        <w:b/>
        <w:bCs/>
      </w:rPr>
    </w:tblStylePr>
    <w:tblStylePr w:type="band1Vert">
      <w:tblPr/>
      <w:tcPr>
        <w:tcBorders>
          <w:top w:val="single" w:sz="8" w:space="0" w:color="9CBEBD" w:themeColor="accent1"/>
          <w:left w:val="single" w:sz="8" w:space="0" w:color="9CBEBD" w:themeColor="accent1"/>
          <w:bottom w:val="single" w:sz="8" w:space="0" w:color="9CBEBD" w:themeColor="accent1"/>
          <w:right w:val="single" w:sz="8" w:space="0" w:color="9CBEBD" w:themeColor="accent1"/>
        </w:tcBorders>
      </w:tcPr>
    </w:tblStylePr>
    <w:tblStylePr w:type="band1Horz">
      <w:tblPr/>
      <w:tcPr>
        <w:tcBorders>
          <w:top w:val="single" w:sz="8" w:space="0" w:color="9CBEBD" w:themeColor="accent1"/>
          <w:left w:val="single" w:sz="8" w:space="0" w:color="9CBEBD" w:themeColor="accent1"/>
          <w:bottom w:val="single" w:sz="8" w:space="0" w:color="9CBEBD" w:themeColor="accent1"/>
          <w:right w:val="single" w:sz="8" w:space="0" w:color="9CBEBD" w:themeColor="accent1"/>
        </w:tcBorders>
      </w:tcPr>
    </w:tblStylePr>
  </w:style>
  <w:style w:type="table" w:styleId="Tabladelista7concolores-nfasis1">
    <w:name w:val="List Table 7 Colorful Accent 1"/>
    <w:basedOn w:val="Tablanormal"/>
    <w:uiPriority w:val="52"/>
    <w:rsid w:val="009A3598"/>
    <w:rPr>
      <w:color w:val="679B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BE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BE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BE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BEBD" w:themeColor="accent1"/>
        </w:tcBorders>
        <w:shd w:val="clear" w:color="auto" w:fill="FFFFFF" w:themeFill="background1"/>
      </w:tcPr>
    </w:tblStylePr>
    <w:tblStylePr w:type="band1Vert">
      <w:tblPr/>
      <w:tcPr>
        <w:shd w:val="clear" w:color="auto" w:fill="EBF2F1" w:themeFill="accent1" w:themeFillTint="33"/>
      </w:tcPr>
    </w:tblStylePr>
    <w:tblStylePr w:type="band1Horz">
      <w:tblPr/>
      <w:tcPr>
        <w:shd w:val="clear" w:color="auto" w:fill="EBF2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rPr>
      <w:color w:val="679B9A"/>
    </w:rPr>
    <w:tblPr>
      <w:tblStyleRowBandSize w:val="1"/>
      <w:tblStyleColBandSize w:val="1"/>
      <w:tblCellMar>
        <w:left w:w="115" w:type="dxa"/>
        <w:right w:w="115" w:type="dxa"/>
      </w:tblCellMar>
    </w:tblPr>
    <w:tcPr>
      <w:shd w:val="clear" w:color="auto" w:fill="EBF1F1"/>
    </w:tcPr>
    <w:tblStylePr w:type="firstRow">
      <w:rPr>
        <w:b/>
      </w:rPr>
      <w:tblPr/>
      <w:tcPr>
        <w:tcBorders>
          <w:bottom w:val="single" w:sz="12" w:space="0" w:color="C3D8D7"/>
        </w:tcBorders>
      </w:tcPr>
    </w:tblStylePr>
    <w:tblStylePr w:type="lastRow">
      <w:rPr>
        <w:b/>
      </w:rPr>
      <w:tblPr/>
      <w:tcPr>
        <w:tcBorders>
          <w:top w:val="single" w:sz="4" w:space="0" w:color="C3D8D7"/>
        </w:tcBorders>
      </w:tcPr>
    </w:tblStylePr>
    <w:tblStylePr w:type="firstCol">
      <w:rPr>
        <w:b/>
      </w:rPr>
    </w:tblStylePr>
    <w:tblStylePr w:type="lastCol">
      <w:rPr>
        <w:b/>
      </w:rPr>
    </w:tblStylePr>
  </w:style>
  <w:style w:type="table" w:customStyle="1" w:styleId="a0">
    <w:basedOn w:val="Tablanormal"/>
    <w:rPr>
      <w:color w:val="679B9A"/>
    </w:rPr>
    <w:tblPr>
      <w:tblStyleRowBandSize w:val="1"/>
      <w:tblStyleColBandSize w:val="1"/>
      <w:tblCellMar>
        <w:left w:w="115" w:type="dxa"/>
        <w:right w:w="115" w:type="dxa"/>
      </w:tblCellMar>
    </w:tblPr>
    <w:tcPr>
      <w:shd w:val="clear" w:color="auto" w:fill="EBF1F1"/>
    </w:tcPr>
    <w:tblStylePr w:type="firstRow">
      <w:rPr>
        <w:rFonts w:ascii="Calibri" w:eastAsia="Calibri" w:hAnsi="Calibri" w:cs="Calibri"/>
        <w:i/>
        <w:sz w:val="26"/>
        <w:szCs w:val="26"/>
      </w:rPr>
      <w:tblPr/>
      <w:tcPr>
        <w:tcBorders>
          <w:bottom w:val="single" w:sz="4" w:space="0" w:color="9CBEBD"/>
        </w:tcBorders>
        <w:shd w:val="clear" w:color="auto" w:fill="FFFFFF"/>
      </w:tcPr>
    </w:tblStylePr>
    <w:tblStylePr w:type="lastRow">
      <w:rPr>
        <w:rFonts w:ascii="Calibri" w:eastAsia="Calibri" w:hAnsi="Calibri" w:cs="Calibri"/>
        <w:i/>
        <w:sz w:val="26"/>
        <w:szCs w:val="26"/>
      </w:rPr>
      <w:tblPr/>
      <w:tcPr>
        <w:tcBorders>
          <w:top w:val="single" w:sz="4" w:space="0" w:color="9CBEBD"/>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9CBEBD"/>
        </w:tcBorders>
        <w:shd w:val="clear" w:color="auto" w:fill="FFFFFF"/>
      </w:tcPr>
    </w:tblStylePr>
    <w:tblStylePr w:type="lastCol">
      <w:rPr>
        <w:rFonts w:ascii="Calibri" w:eastAsia="Calibri" w:hAnsi="Calibri" w:cs="Calibri"/>
        <w:i/>
        <w:sz w:val="26"/>
        <w:szCs w:val="26"/>
      </w:rPr>
      <w:tblPr/>
      <w:tcPr>
        <w:tcBorders>
          <w:left w:val="single" w:sz="4" w:space="0" w:color="9CBEBD"/>
        </w:tcBorders>
        <w:shd w:val="clear" w:color="auto" w:fill="FFFFFF"/>
      </w:tcPr>
    </w:tblStylePr>
    <w:tblStylePr w:type="band1Vert">
      <w:tblPr/>
      <w:tcPr>
        <w:shd w:val="clear" w:color="auto" w:fill="EBF1F1"/>
      </w:tcPr>
    </w:tblStylePr>
    <w:tblStylePr w:type="band1Horz">
      <w:tblPr/>
      <w:tcPr>
        <w:shd w:val="clear" w:color="auto" w:fill="EBF1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anormal"/>
    <w:rPr>
      <w:color w:val="679B9A"/>
    </w:rPr>
    <w:tblPr>
      <w:tblStyleRowBandSize w:val="1"/>
      <w:tblStyleColBandSize w:val="1"/>
      <w:tblCellMar>
        <w:left w:w="115" w:type="dxa"/>
        <w:right w:w="115" w:type="dxa"/>
      </w:tblCellMar>
    </w:tblPr>
    <w:tcPr>
      <w:shd w:val="clear" w:color="auto" w:fill="EBF1F1"/>
    </w:tcPr>
    <w:tblStylePr w:type="firstRow">
      <w:rPr>
        <w:rFonts w:ascii="Calibri" w:eastAsia="Calibri" w:hAnsi="Calibri" w:cs="Calibri"/>
        <w:i/>
        <w:sz w:val="26"/>
        <w:szCs w:val="26"/>
      </w:rPr>
      <w:tblPr/>
      <w:tcPr>
        <w:tcBorders>
          <w:bottom w:val="single" w:sz="4" w:space="0" w:color="9CBEBD"/>
        </w:tcBorders>
        <w:shd w:val="clear" w:color="auto" w:fill="FFFFFF"/>
      </w:tcPr>
    </w:tblStylePr>
    <w:tblStylePr w:type="lastRow">
      <w:rPr>
        <w:rFonts w:ascii="Calibri" w:eastAsia="Calibri" w:hAnsi="Calibri" w:cs="Calibri"/>
        <w:i/>
        <w:sz w:val="26"/>
        <w:szCs w:val="26"/>
      </w:rPr>
      <w:tblPr/>
      <w:tcPr>
        <w:tcBorders>
          <w:top w:val="single" w:sz="4" w:space="0" w:color="9CBEBD"/>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9CBEBD"/>
        </w:tcBorders>
        <w:shd w:val="clear" w:color="auto" w:fill="FFFFFF"/>
      </w:tcPr>
    </w:tblStylePr>
    <w:tblStylePr w:type="lastCol">
      <w:rPr>
        <w:rFonts w:ascii="Calibri" w:eastAsia="Calibri" w:hAnsi="Calibri" w:cs="Calibri"/>
        <w:i/>
        <w:sz w:val="26"/>
        <w:szCs w:val="26"/>
      </w:rPr>
      <w:tblPr/>
      <w:tcPr>
        <w:tcBorders>
          <w:left w:val="single" w:sz="4" w:space="0" w:color="9CBEBD"/>
        </w:tcBorders>
        <w:shd w:val="clear" w:color="auto" w:fill="FFFFFF"/>
      </w:tcPr>
    </w:tblStylePr>
    <w:tblStylePr w:type="band1Vert">
      <w:tblPr/>
      <w:tcPr>
        <w:shd w:val="clear" w:color="auto" w:fill="EBF1F1"/>
      </w:tcPr>
    </w:tblStylePr>
    <w:tblStylePr w:type="band1Horz">
      <w:tblPr/>
      <w:tcPr>
        <w:shd w:val="clear" w:color="auto" w:fill="EBF1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2">
    <w:basedOn w:val="Tablanormal"/>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rsid w:val="000A265A"/>
    <w:rPr>
      <w:rFonts w:ascii="Noto Sans SemiBold" w:eastAsia="Arial" w:hAnsi="Noto Sans SemiBold" w:cs="Noto Sans SemiBold"/>
      <w:b/>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4848">
      <w:bodyDiv w:val="1"/>
      <w:marLeft w:val="0"/>
      <w:marRight w:val="0"/>
      <w:marTop w:val="0"/>
      <w:marBottom w:val="0"/>
      <w:divBdr>
        <w:top w:val="none" w:sz="0" w:space="0" w:color="auto"/>
        <w:left w:val="none" w:sz="0" w:space="0" w:color="auto"/>
        <w:bottom w:val="none" w:sz="0" w:space="0" w:color="auto"/>
        <w:right w:val="none" w:sz="0" w:space="0" w:color="auto"/>
      </w:divBdr>
    </w:div>
    <w:div w:id="1421869104">
      <w:bodyDiv w:val="1"/>
      <w:marLeft w:val="0"/>
      <w:marRight w:val="0"/>
      <w:marTop w:val="0"/>
      <w:marBottom w:val="0"/>
      <w:divBdr>
        <w:top w:val="none" w:sz="0" w:space="0" w:color="auto"/>
        <w:left w:val="none" w:sz="0" w:space="0" w:color="auto"/>
        <w:bottom w:val="none" w:sz="0" w:space="0" w:color="auto"/>
        <w:right w:val="none" w:sz="0" w:space="0" w:color="auto"/>
      </w:divBdr>
    </w:div>
    <w:div w:id="1463572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 Colors">
      <a:dk1>
        <a:srgbClr val="000000"/>
      </a:dk1>
      <a:lt1>
        <a:srgbClr val="FFFFFF"/>
      </a:lt1>
      <a:dk2>
        <a:srgbClr val="635D4D"/>
      </a:dk2>
      <a:lt2>
        <a:srgbClr val="D8D6BA"/>
      </a:lt2>
      <a:accent1>
        <a:srgbClr val="9CBEBD"/>
      </a:accent1>
      <a:accent2>
        <a:srgbClr val="D2CB6C"/>
      </a:accent2>
      <a:accent3>
        <a:srgbClr val="9D9A93"/>
      </a:accent3>
      <a:accent4>
        <a:srgbClr val="C89F5D"/>
      </a:accent4>
      <a:accent5>
        <a:srgbClr val="A9A57C"/>
      </a:accent5>
      <a:accent6>
        <a:srgbClr val="95A39D"/>
      </a:accent6>
      <a:hlink>
        <a:srgbClr val="D25814"/>
      </a:hlink>
      <a:folHlink>
        <a:srgbClr val="849A0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hNrRJ196ZKjdbQHKaHzspVPc8A==">AMUW2mVvlLaq273se1xPERo+K0Jj2CoDvbO0cBICfLQEwVNfbf77EdGsZS8/JxrnfIj6jYjSPiZ3ncfTn7xgkPv6sdpyd1LM+oahPJjLeH2CHQ1y6PsWwf8=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CA1198-CC5F-461A-B50D-C904EA69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978</Words>
  <Characters>5383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DIRECCION TECNICA</cp:lastModifiedBy>
  <cp:revision>3</cp:revision>
  <dcterms:created xsi:type="dcterms:W3CDTF">2024-10-30T21:15:00Z</dcterms:created>
  <dcterms:modified xsi:type="dcterms:W3CDTF">2024-10-30T22:09:00Z</dcterms:modified>
</cp:coreProperties>
</file>