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B749C" w14:textId="4057B2E1" w:rsidR="00307B5A" w:rsidRDefault="21EF29E7" w:rsidP="18C4EE17">
      <w:pPr>
        <w:pStyle w:val="Heading1"/>
        <w:spacing w:before="322" w:after="322"/>
        <w:rPr>
          <w:rFonts w:ascii="Aptos" w:eastAsia="Aptos" w:hAnsi="Aptos" w:cs="Aptos"/>
          <w:b/>
          <w:bCs/>
        </w:rPr>
      </w:pPr>
      <w:r w:rsidRPr="18C4EE17">
        <w:rPr>
          <w:rFonts w:ascii="Aptos" w:eastAsia="Aptos" w:hAnsi="Aptos" w:cs="Aptos"/>
          <w:b/>
          <w:bCs/>
        </w:rPr>
        <w:t>Written Report</w:t>
      </w:r>
    </w:p>
    <w:p w14:paraId="38626142" w14:textId="0651CEC2" w:rsidR="00307B5A" w:rsidRDefault="7598D232" w:rsidP="18C4EE17">
      <w:pPr>
        <w:spacing w:line="240" w:lineRule="auto"/>
      </w:pPr>
      <w:r w:rsidRPr="18C4EE17">
        <w:t xml:space="preserve">Cole Geer, </w:t>
      </w:r>
      <w:r w:rsidR="00775E0E">
        <w:t>William Brown</w:t>
      </w:r>
      <w:r w:rsidR="009854B8">
        <w:t xml:space="preserve">, </w:t>
      </w:r>
      <w:r w:rsidR="00775E0E">
        <w:t>Sofia Lopez</w:t>
      </w:r>
      <w:r w:rsidR="009854B8">
        <w:t>, Nietal Al Nahmo</w:t>
      </w:r>
    </w:p>
    <w:p w14:paraId="10322765" w14:textId="77335549" w:rsidR="00307B5A" w:rsidRDefault="21EF29E7" w:rsidP="18C4EE17">
      <w:pPr>
        <w:spacing w:before="240" w:after="240" w:line="240" w:lineRule="auto"/>
        <w:rPr>
          <w:rFonts w:ascii="Aptos" w:eastAsia="Aptos" w:hAnsi="Aptos" w:cs="Aptos"/>
        </w:rPr>
      </w:pPr>
      <w:r w:rsidRPr="18C4EE17">
        <w:rPr>
          <w:rFonts w:ascii="Aptos" w:eastAsia="Aptos" w:hAnsi="Aptos" w:cs="Aptos"/>
        </w:rPr>
        <w:t>Project #</w:t>
      </w:r>
      <w:r w:rsidR="00775E0E">
        <w:rPr>
          <w:rFonts w:ascii="Aptos" w:eastAsia="Aptos" w:hAnsi="Aptos" w:cs="Aptos"/>
        </w:rPr>
        <w:t>4</w:t>
      </w:r>
      <w:r w:rsidRPr="18C4EE17">
        <w:rPr>
          <w:rFonts w:ascii="Aptos" w:eastAsia="Aptos" w:hAnsi="Aptos" w:cs="Aptos"/>
        </w:rPr>
        <w:t xml:space="preserve">: </w:t>
      </w:r>
      <w:r w:rsidR="00775E0E">
        <w:rPr>
          <w:rFonts w:ascii="Aptos" w:eastAsia="Aptos" w:hAnsi="Aptos" w:cs="Aptos"/>
        </w:rPr>
        <w:t>Interpreting Data</w:t>
      </w:r>
    </w:p>
    <w:p w14:paraId="7621558B" w14:textId="02B9DAEF" w:rsidR="00307B5A" w:rsidRDefault="4744419D" w:rsidP="18C4EE17">
      <w:pPr>
        <w:spacing w:before="240" w:after="240" w:line="240" w:lineRule="auto"/>
        <w:rPr>
          <w:rFonts w:ascii="Aptos" w:eastAsia="Aptos" w:hAnsi="Aptos" w:cs="Aptos"/>
        </w:rPr>
      </w:pPr>
      <w:r w:rsidRPr="18C4EE17">
        <w:rPr>
          <w:rFonts w:ascii="Aptos" w:eastAsia="Aptos" w:hAnsi="Aptos" w:cs="Aptos"/>
        </w:rPr>
        <w:t>Date Submitted for Review: 0</w:t>
      </w:r>
      <w:r w:rsidR="00775E0E">
        <w:rPr>
          <w:rFonts w:ascii="Aptos" w:eastAsia="Aptos" w:hAnsi="Aptos" w:cs="Aptos"/>
        </w:rPr>
        <w:t>4</w:t>
      </w:r>
      <w:r w:rsidRPr="18C4EE17">
        <w:rPr>
          <w:rFonts w:ascii="Aptos" w:eastAsia="Aptos" w:hAnsi="Aptos" w:cs="Aptos"/>
        </w:rPr>
        <w:t>/</w:t>
      </w:r>
      <w:r w:rsidR="00775E0E">
        <w:rPr>
          <w:rFonts w:ascii="Aptos" w:eastAsia="Aptos" w:hAnsi="Aptos" w:cs="Aptos"/>
        </w:rPr>
        <w:t>21</w:t>
      </w:r>
      <w:r w:rsidRPr="18C4EE17">
        <w:rPr>
          <w:rFonts w:ascii="Aptos" w:eastAsia="Aptos" w:hAnsi="Aptos" w:cs="Aptos"/>
        </w:rPr>
        <w:t>/2026</w:t>
      </w:r>
    </w:p>
    <w:p w14:paraId="6CDBFECF" w14:textId="051725E2" w:rsidR="00307B5A" w:rsidRDefault="21EF29E7" w:rsidP="18C4EE17">
      <w:pPr>
        <w:spacing w:before="240" w:after="240" w:line="240" w:lineRule="auto"/>
        <w:rPr>
          <w:rFonts w:ascii="Aptos" w:eastAsia="Aptos" w:hAnsi="Aptos" w:cs="Aptos"/>
        </w:rPr>
      </w:pPr>
      <w:r w:rsidRPr="18C4EE17">
        <w:rPr>
          <w:rFonts w:ascii="Aptos" w:eastAsia="Aptos" w:hAnsi="Aptos" w:cs="Aptos"/>
        </w:rPr>
        <w:t>Client:</w:t>
      </w:r>
      <w:r w:rsidR="009854B8" w:rsidRPr="009854B8">
        <w:rPr>
          <w:rFonts w:ascii="Aptos" w:eastAsia="Aptos" w:hAnsi="Aptos" w:cs="Aptos"/>
          <w:b/>
          <w:bCs/>
        </w:rPr>
        <w:t> </w:t>
      </w:r>
      <w:r w:rsidR="00775E0E" w:rsidRPr="00775E0E">
        <w:rPr>
          <w:rFonts w:ascii="Aptos" w:eastAsia="Aptos" w:hAnsi="Aptos" w:cs="Aptos"/>
        </w:rPr>
        <w:t>Risk Averse, LLC</w:t>
      </w:r>
    </w:p>
    <w:p w14:paraId="15483EA6" w14:textId="7BA06C52" w:rsidR="00307B5A" w:rsidRDefault="00307B5A" w:rsidP="18C4EE17">
      <w:pPr>
        <w:spacing w:before="240" w:after="240" w:line="240" w:lineRule="auto"/>
        <w:rPr>
          <w:rFonts w:ascii="Aptos" w:eastAsia="Aptos" w:hAnsi="Aptos" w:cs="Aptos"/>
        </w:rPr>
      </w:pPr>
    </w:p>
    <w:p w14:paraId="2B0737FC" w14:textId="4769660C" w:rsidR="00307B5A" w:rsidRDefault="21EF29E7" w:rsidP="18C4EE17">
      <w:pPr>
        <w:pStyle w:val="Heading2"/>
        <w:rPr>
          <w:sz w:val="36"/>
          <w:szCs w:val="36"/>
        </w:rPr>
      </w:pPr>
      <w:r w:rsidRPr="18C4EE17">
        <w:rPr>
          <w:sz w:val="36"/>
          <w:szCs w:val="36"/>
        </w:rPr>
        <w:t>Introduction / Background</w:t>
      </w:r>
    </w:p>
    <w:p w14:paraId="0D0B07D3" w14:textId="287B8730" w:rsidR="00775E0E" w:rsidRPr="00775E0E" w:rsidRDefault="00775E0E" w:rsidP="00775E0E">
      <w:r w:rsidRPr="00775E0E">
        <w:t>The National Risk Index is a tool developed for the Federal Emergency Management Agency (FEMA) to evaluate the relative risk of natural hazards across communities in the United States. The NRI co</w:t>
      </w:r>
      <w:r>
        <w:t>ntains</w:t>
      </w:r>
      <w:r w:rsidRPr="00775E0E">
        <w:t xml:space="preserve"> information </w:t>
      </w:r>
      <w:r>
        <w:t>like</w:t>
      </w:r>
      <w:r w:rsidRPr="00775E0E">
        <w:t xml:space="preserve"> expected annual loss</w:t>
      </w:r>
      <w:r>
        <w:t xml:space="preserve"> and </w:t>
      </w:r>
      <w:r w:rsidRPr="00775E0E">
        <w:t xml:space="preserve">social vulnerability to assign risk scores and ratings to different places. Because the scores may influence how communities are understood and prioritized for disaster mitigation, it is important to examine whether the way risk is defined could introduce bias into the </w:t>
      </w:r>
      <w:proofErr w:type="gramStart"/>
      <w:r w:rsidRPr="00775E0E">
        <w:t>final results</w:t>
      </w:r>
      <w:proofErr w:type="gramEnd"/>
      <w:r w:rsidRPr="00775E0E">
        <w:t xml:space="preserve"> (FEMA National Risk Index, 2025).</w:t>
      </w:r>
    </w:p>
    <w:p w14:paraId="7B37D82E" w14:textId="7074698A" w:rsidR="00775E0E" w:rsidRPr="00775E0E" w:rsidRDefault="00775E0E" w:rsidP="00775E0E">
      <w:r w:rsidRPr="00775E0E">
        <w:t>The goal of this project was to compare FEMA’s current NRI risk definition to a</w:t>
      </w:r>
      <w:r w:rsidR="005E4B1D">
        <w:t xml:space="preserve"> different</w:t>
      </w:r>
      <w:r w:rsidRPr="00775E0E">
        <w:t xml:space="preserve"> risk definition. Risk Averse, LLC asked for a sensitivity analysis using two states</w:t>
      </w:r>
      <w:r w:rsidR="005E4B1D">
        <w:t>. For this project, the states analyzed were</w:t>
      </w:r>
      <w:r w:rsidRPr="00775E0E">
        <w:t xml:space="preserve"> Colorado and Wyoming</w:t>
      </w:r>
      <w:r w:rsidR="005E4B1D">
        <w:t>.</w:t>
      </w:r>
      <w:r w:rsidRPr="00775E0E">
        <w:t xml:space="preserve"> </w:t>
      </w:r>
      <w:r w:rsidR="005E4B1D">
        <w:t xml:space="preserve">This allows the ability to </w:t>
      </w:r>
      <w:r w:rsidRPr="00775E0E">
        <w:t>determine whether changes in the definition of risk could meaningfully change results. The project also required comparison tables and figures, along with at least one map, so that the differences between the NRI and the proposed method could be clearly communicated to a client.</w:t>
      </w:r>
    </w:p>
    <w:p w14:paraId="52A0AA8C" w14:textId="77777777" w:rsidR="009854B8" w:rsidRPr="009854B8" w:rsidRDefault="009854B8" w:rsidP="009854B8"/>
    <w:p w14:paraId="0BD5B232" w14:textId="2541B6D6" w:rsidR="00307B5A" w:rsidRDefault="21EF29E7" w:rsidP="18C4EE17">
      <w:pPr>
        <w:pStyle w:val="Heading2"/>
        <w:rPr>
          <w:sz w:val="36"/>
          <w:szCs w:val="36"/>
        </w:rPr>
      </w:pPr>
      <w:r w:rsidRPr="18C4EE17">
        <w:rPr>
          <w:sz w:val="36"/>
          <w:szCs w:val="36"/>
        </w:rPr>
        <w:t>Methods</w:t>
      </w:r>
    </w:p>
    <w:p w14:paraId="1E52A1E4" w14:textId="188E4143" w:rsidR="00775E0E" w:rsidRPr="00775E0E" w:rsidRDefault="00775E0E" w:rsidP="00775E0E">
      <w:r w:rsidRPr="00775E0E">
        <w:t xml:space="preserve">This analysis was completed in Python using pandas, NumPy, matplotlib, seaborn, and </w:t>
      </w:r>
      <w:proofErr w:type="spellStart"/>
      <w:r w:rsidRPr="00775E0E">
        <w:t>GeoPandas</w:t>
      </w:r>
      <w:proofErr w:type="spellEnd"/>
      <w:r w:rsidRPr="00775E0E">
        <w:t xml:space="preserve">. The main NRI Census Tracts table was first loaded and filtered to only include Colorado and Wyoming. SVI tables for Colorado and Wyoming were also imported. </w:t>
      </w:r>
      <w:r w:rsidR="00CC43AD">
        <w:t>T</w:t>
      </w:r>
      <w:r w:rsidRPr="00775E0E">
        <w:t>he NRI Census Tracts shapefile was</w:t>
      </w:r>
      <w:r w:rsidR="005E4B1D">
        <w:t xml:space="preserve"> also</w:t>
      </w:r>
      <w:r w:rsidRPr="00775E0E">
        <w:t xml:space="preserve"> loaded so that </w:t>
      </w:r>
      <w:r w:rsidR="005E4B1D">
        <w:t xml:space="preserve">the </w:t>
      </w:r>
      <w:r w:rsidRPr="00775E0E">
        <w:t>risk patterns could be mapped.</w:t>
      </w:r>
    </w:p>
    <w:p w14:paraId="631971DB" w14:textId="0B9412DA" w:rsidR="00775E0E" w:rsidRPr="00775E0E" w:rsidRDefault="00775E0E" w:rsidP="00775E0E">
      <w:r w:rsidRPr="00775E0E">
        <w:t xml:space="preserve">To combine the tabular data, the NRI and SVI tables were merged for each state using the county identifier. This created one main </w:t>
      </w:r>
      <w:r w:rsidR="005E4B1D" w:rsidRPr="00775E0E">
        <w:t>data frame</w:t>
      </w:r>
      <w:r w:rsidRPr="00775E0E">
        <w:t xml:space="preserve"> for Colorado and one for Wyoming that </w:t>
      </w:r>
      <w:r w:rsidRPr="00775E0E">
        <w:lastRenderedPageBreak/>
        <w:t xml:space="preserve">included both </w:t>
      </w:r>
      <w:r w:rsidR="005E4B1D">
        <w:t xml:space="preserve">variables from the </w:t>
      </w:r>
      <w:r w:rsidRPr="00775E0E">
        <w:t xml:space="preserve">NRI and SVI. During the geospatial portion of the analysis, the coordinate reference system was adjusted to support </w:t>
      </w:r>
      <w:r w:rsidR="005E4B1D">
        <w:t xml:space="preserve">the </w:t>
      </w:r>
      <w:r w:rsidRPr="00775E0E">
        <w:t>mapping and visualization.</w:t>
      </w:r>
    </w:p>
    <w:p w14:paraId="7F83DF14" w14:textId="77777777" w:rsidR="00D725B0" w:rsidRDefault="00775E0E" w:rsidP="00775E0E">
      <w:r w:rsidRPr="00775E0E">
        <w:t xml:space="preserve">The project compared FEMA’s current NRI risk definition to a </w:t>
      </w:r>
      <w:r w:rsidR="005E4B1D">
        <w:t>new</w:t>
      </w:r>
      <w:r w:rsidRPr="00775E0E">
        <w:t xml:space="preserve"> risk definition created by the group. </w:t>
      </w:r>
    </w:p>
    <w:p w14:paraId="6231CA14" w14:textId="5498A878" w:rsidR="00775E0E" w:rsidRDefault="005E4B1D" w:rsidP="00775E0E">
      <w:r>
        <w:t>T</w:t>
      </w:r>
      <w:r w:rsidR="00775E0E" w:rsidRPr="00775E0E">
        <w:t>he NRI risk definition was treated as:</w:t>
      </w:r>
    </w:p>
    <w:p w14:paraId="29B6759F" w14:textId="77777777" w:rsidR="00D725B0" w:rsidRDefault="00D725B0" w:rsidP="00D725B0">
      <w:r w:rsidRPr="00D725B0">
        <w:t>Risk = Expected Annual Loss x Community Risk Factor</w:t>
      </w:r>
    </w:p>
    <w:p w14:paraId="2CEC7A02" w14:textId="05DECFEE" w:rsidR="00D725B0" w:rsidRDefault="00D725B0" w:rsidP="00D725B0">
      <w:r>
        <w:t>Where:</w:t>
      </w:r>
      <w:r w:rsidRPr="00D725B0">
        <w:br/>
        <w:t xml:space="preserve">   - Community Risk Factor = </w:t>
      </w:r>
      <w:proofErr w:type="gramStart"/>
      <w:r w:rsidRPr="00D725B0">
        <w:t>f(</w:t>
      </w:r>
      <w:proofErr w:type="gramEnd"/>
      <w:r w:rsidRPr="00D725B0">
        <w:t>Social Vulnerability/ Community Resilience)</w:t>
      </w:r>
      <w:r w:rsidRPr="00D725B0">
        <w:br/>
        <w:t>   - Expected Annual Loss = Exposure x Annualized Frequency x Historical Loss Ratio</w:t>
      </w:r>
    </w:p>
    <w:p w14:paraId="76E50469" w14:textId="21E8360B" w:rsidR="00D725B0" w:rsidRDefault="00D725B0" w:rsidP="00775E0E">
      <w:r w:rsidRPr="00D725B0">
        <w:t>Our Team will use the following definition of risk:</w:t>
      </w:r>
    </w:p>
    <w:p w14:paraId="447CF1ED" w14:textId="4FDB8F83" w:rsidR="00D725B0" w:rsidRDefault="00D725B0" w:rsidP="00775E0E">
      <w:r w:rsidRPr="00D725B0">
        <w:t>Risk = (Probability x Impact) / Preparedness</w:t>
      </w:r>
    </w:p>
    <w:p w14:paraId="39FC427D" w14:textId="44763512" w:rsidR="00D725B0" w:rsidRPr="00775E0E" w:rsidRDefault="00D725B0" w:rsidP="00775E0E">
      <w:r>
        <w:t>Where:</w:t>
      </w:r>
      <w:r w:rsidRPr="00D725B0">
        <w:br/>
        <w:t>   - Probability = Frequency</w:t>
      </w:r>
      <w:r w:rsidRPr="00D725B0">
        <w:br/>
        <w:t>   - Impact = Expected Annual Loss x Exposure</w:t>
      </w:r>
      <w:r w:rsidRPr="00D725B0">
        <w:br/>
        <w:t>   - Preparedness = Social Vulnerability x Community Resilience</w:t>
      </w:r>
    </w:p>
    <w:p w14:paraId="34A00EA9" w14:textId="29249F8E" w:rsidR="00775E0E" w:rsidRPr="00775E0E" w:rsidRDefault="00775E0E" w:rsidP="00775E0E">
      <w:r w:rsidRPr="00775E0E">
        <w:t xml:space="preserve">After </w:t>
      </w:r>
      <w:r w:rsidR="005F0A08">
        <w:t>a</w:t>
      </w:r>
      <w:r w:rsidRPr="00775E0E">
        <w:t xml:space="preserve"> custom value was calculated, it was converted to a 0</w:t>
      </w:r>
      <w:r w:rsidR="00D42F8D">
        <w:t xml:space="preserve"> </w:t>
      </w:r>
      <w:r w:rsidRPr="00775E0E">
        <w:t>–100 scale using a min-max function so that it would be easier to compare to the NRI risk score.</w:t>
      </w:r>
    </w:p>
    <w:p w14:paraId="7B5F319F" w14:textId="75AB87F8" w:rsidR="00775E0E" w:rsidRPr="00775E0E" w:rsidRDefault="00775E0E" w:rsidP="00775E0E">
      <w:r w:rsidRPr="00775E0E">
        <w:t>To compare results, both state datasets were grouped by county</w:t>
      </w:r>
      <w:r w:rsidR="00CC43AD">
        <w:t>.</w:t>
      </w:r>
      <w:r w:rsidRPr="00775E0E">
        <w:t xml:space="preserve"> </w:t>
      </w:r>
      <w:r w:rsidR="00CC43AD">
        <w:t>T</w:t>
      </w:r>
      <w:r w:rsidRPr="00775E0E">
        <w:t xml:space="preserve">he mean NRI risk score and mean custom risk score were calculated. These grouped values were then plotted as bar charts. For the geospatial analysis, maps were created using </w:t>
      </w:r>
      <w:proofErr w:type="spellStart"/>
      <w:r w:rsidRPr="00775E0E">
        <w:t>GeoPandas</w:t>
      </w:r>
      <w:proofErr w:type="spellEnd"/>
      <w:r w:rsidRPr="00775E0E">
        <w:t xml:space="preserve"> for both the NRI wildfire risk score and the custom risk score. A shared</w:t>
      </w:r>
      <w:r w:rsidR="005F0A08">
        <w:t xml:space="preserve"> scale of</w:t>
      </w:r>
      <w:r w:rsidRPr="00775E0E">
        <w:t xml:space="preserve"> red</w:t>
      </w:r>
      <w:r w:rsidR="005F0A08">
        <w:t xml:space="preserve"> to </w:t>
      </w:r>
      <w:r w:rsidRPr="00775E0E">
        <w:t>blue color ramp was used so that differences in</w:t>
      </w:r>
      <w:r w:rsidR="005F0A08">
        <w:t xml:space="preserve"> </w:t>
      </w:r>
      <w:r w:rsidRPr="00775E0E">
        <w:t>patterns could be seen more clearly.</w:t>
      </w:r>
    </w:p>
    <w:p w14:paraId="656F23D8" w14:textId="77777777" w:rsidR="00775E0E" w:rsidRPr="00775E0E" w:rsidRDefault="00775E0E" w:rsidP="00775E0E"/>
    <w:p w14:paraId="3446EA91" w14:textId="77777777" w:rsidR="009854B8" w:rsidRPr="009854B8" w:rsidRDefault="009854B8" w:rsidP="009854B8"/>
    <w:p w14:paraId="3C78D3EB" w14:textId="24340BB8" w:rsidR="00307B5A" w:rsidRDefault="21EF29E7" w:rsidP="18C4EE17">
      <w:pPr>
        <w:pStyle w:val="Heading2"/>
        <w:rPr>
          <w:sz w:val="36"/>
          <w:szCs w:val="36"/>
        </w:rPr>
      </w:pPr>
      <w:r w:rsidRPr="18C4EE17">
        <w:rPr>
          <w:sz w:val="36"/>
          <w:szCs w:val="36"/>
        </w:rPr>
        <w:t>Results and Discussion</w:t>
      </w:r>
    </w:p>
    <w:p w14:paraId="08A1975B" w14:textId="081EC1AC" w:rsidR="00775E0E" w:rsidRPr="00775E0E" w:rsidRDefault="00775E0E" w:rsidP="00775E0E">
      <w:r w:rsidRPr="00775E0E">
        <w:t>The county bar charts show clear differences between the FEMA NRI risk results and the custom risk results for both Colorado and Wyoming. In Colorado, the NRI values remain consistently high across most counties, while the custom scores are much lower overall and only increase in a few locations. Wyoming shows a similar pattern, with relatively uniform NRI scores but more concentrated custom risk values.</w:t>
      </w:r>
    </w:p>
    <w:p w14:paraId="3A384098" w14:textId="1016B400" w:rsidR="00775E0E" w:rsidRPr="00775E0E" w:rsidRDefault="00775E0E" w:rsidP="00775E0E">
      <w:r w:rsidRPr="00775E0E">
        <w:lastRenderedPageBreak/>
        <w:t xml:space="preserve">This </w:t>
      </w:r>
      <w:r w:rsidR="005F0A08">
        <w:t>shows</w:t>
      </w:r>
      <w:r w:rsidRPr="00775E0E">
        <w:t xml:space="preserve"> that the two methods define </w:t>
      </w:r>
      <w:r w:rsidR="00D42F8D">
        <w:t>high risks</w:t>
      </w:r>
      <w:r w:rsidR="005F0A08">
        <w:t xml:space="preserve"> </w:t>
      </w:r>
      <w:r w:rsidRPr="00775E0E">
        <w:t xml:space="preserve">very differently. The NRI approach suggests that </w:t>
      </w:r>
      <w:r w:rsidR="005F0A08">
        <w:t xml:space="preserve">the </w:t>
      </w:r>
      <w:r w:rsidRPr="00775E0E">
        <w:t xml:space="preserve">risk is elevated across both states, while the custom method </w:t>
      </w:r>
      <w:r w:rsidR="005F0A08">
        <w:t xml:space="preserve">shows </w:t>
      </w:r>
      <w:r w:rsidRPr="00775E0E">
        <w:t>only a smaller number of high</w:t>
      </w:r>
      <w:r w:rsidR="005F0A08">
        <w:t xml:space="preserve"> </w:t>
      </w:r>
      <w:r w:rsidRPr="00775E0E">
        <w:t xml:space="preserve">risk counties. This difference demonstrates that the structure of the risk equation has a strong impact on the final results. </w:t>
      </w:r>
      <w:r w:rsidR="005F0A08">
        <w:t>Even small c</w:t>
      </w:r>
      <w:r w:rsidRPr="00775E0E">
        <w:t>hanges in how variables like exposure, vulnerability, and resilience are used can significantly shift which areas are considered most at risk.</w:t>
      </w:r>
    </w:p>
    <w:p w14:paraId="1B12EC73" w14:textId="116CC782" w:rsidR="00775E0E" w:rsidRPr="00775E0E" w:rsidRDefault="00775E0E" w:rsidP="00775E0E">
      <w:r w:rsidRPr="00775E0E">
        <w:t>The Colorado results show more variability than Wyoming, likely due to greater differences in population density and wildfire exposure. The custom method identi</w:t>
      </w:r>
      <w:r w:rsidR="005F0A08">
        <w:t>fies</w:t>
      </w:r>
      <w:r w:rsidRPr="00775E0E">
        <w:t xml:space="preserve"> </w:t>
      </w:r>
      <w:r w:rsidR="005F0A08">
        <w:t xml:space="preserve">certain </w:t>
      </w:r>
      <w:r w:rsidRPr="00775E0E">
        <w:t xml:space="preserve">counties with higher risk rather than spreading risk more evenly. This suggests that the custom model </w:t>
      </w:r>
      <w:r w:rsidR="005F0A08">
        <w:t xml:space="preserve">has more </w:t>
      </w:r>
      <w:r w:rsidRPr="00775E0E">
        <w:t>hotspots rather than regional trends.</w:t>
      </w:r>
    </w:p>
    <w:p w14:paraId="4005BA77" w14:textId="605C9B2F" w:rsidR="00775E0E" w:rsidRPr="00775E0E" w:rsidRDefault="00775E0E" w:rsidP="00775E0E">
      <w:r w:rsidRPr="00775E0E">
        <w:t>The geospatial maps support these findings. The NRI map shows widespread moderate</w:t>
      </w:r>
      <w:r w:rsidR="005F0A08">
        <w:t xml:space="preserve"> to </w:t>
      </w:r>
      <w:r w:rsidRPr="00775E0E">
        <w:t xml:space="preserve">high wildfire risk across both states, while the custom risk map is much more concentrated, with most areas </w:t>
      </w:r>
      <w:r w:rsidR="003B44EA" w:rsidRPr="00775E0E">
        <w:t>appearing at a</w:t>
      </w:r>
      <w:r w:rsidRPr="00775E0E">
        <w:t xml:space="preserve"> low risk </w:t>
      </w:r>
      <w:r w:rsidR="003B44EA">
        <w:t>with</w:t>
      </w:r>
      <w:r w:rsidRPr="00775E0E">
        <w:t xml:space="preserve"> only </w:t>
      </w:r>
      <w:r w:rsidR="003B44EA">
        <w:t>a few</w:t>
      </w:r>
      <w:r w:rsidRPr="00775E0E">
        <w:t xml:space="preserve"> standing out. This reinforces the</w:t>
      </w:r>
      <w:r w:rsidR="003B44EA">
        <w:t xml:space="preserve"> idea that</w:t>
      </w:r>
      <w:r w:rsidRPr="00775E0E">
        <w:t xml:space="preserve"> custom definition produces a more localized view of risk.</w:t>
      </w:r>
    </w:p>
    <w:p w14:paraId="36CF3408" w14:textId="38FEA614" w:rsidR="00775E0E" w:rsidRPr="00775E0E" w:rsidRDefault="00775E0E" w:rsidP="00775E0E">
      <w:r w:rsidRPr="00775E0E">
        <w:t>From an engineering and planning perspective, these differences are important because risk scores</w:t>
      </w:r>
      <w:r w:rsidR="003B44EA">
        <w:t xml:space="preserve"> can</w:t>
      </w:r>
      <w:r w:rsidRPr="00775E0E">
        <w:t xml:space="preserve"> influence decision</w:t>
      </w:r>
      <w:r w:rsidR="003B44EA">
        <w:t xml:space="preserve"> </w:t>
      </w:r>
      <w:r w:rsidRPr="00775E0E">
        <w:t>making a</w:t>
      </w:r>
      <w:r w:rsidR="003B44EA">
        <w:t>nd funding</w:t>
      </w:r>
      <w:r w:rsidRPr="00775E0E">
        <w:t>. A broader risk distribution may lead to more evenly spread resources, while a hotspot</w:t>
      </w:r>
      <w:r w:rsidR="003B44EA">
        <w:t xml:space="preserve"> </w:t>
      </w:r>
      <w:r w:rsidRPr="00775E0E">
        <w:t>based approach may prioritize specific areas. This</w:t>
      </w:r>
      <w:r w:rsidR="003B44EA">
        <w:t xml:space="preserve"> could</w:t>
      </w:r>
      <w:r w:rsidRPr="00775E0E">
        <w:t xml:space="preserve"> also </w:t>
      </w:r>
      <w:r w:rsidR="003B44EA" w:rsidRPr="00775E0E">
        <w:t>raise</w:t>
      </w:r>
      <w:r w:rsidRPr="00775E0E">
        <w:t xml:space="preserve"> concerns about potential bias, since different risk definitions can change how communities are classified and which areas receive attention</w:t>
      </w:r>
      <w:r w:rsidR="003B44EA">
        <w:t xml:space="preserve"> and which ones don’t</w:t>
      </w:r>
      <w:r w:rsidRPr="00775E0E">
        <w:t>.</w:t>
      </w:r>
    </w:p>
    <w:p w14:paraId="460BF7B7" w14:textId="64BAC627" w:rsidR="00775E0E" w:rsidRPr="00775E0E" w:rsidRDefault="00775E0E" w:rsidP="00775E0E">
      <w:r w:rsidRPr="00775E0E">
        <w:t>Overall, the results show that changing the risk definition leads to meaningful differences in both numerical results and spatial patterns. This highlights the importance of carefully evaluating how risk is defined when it is used to guide real</w:t>
      </w:r>
      <w:r w:rsidR="003B44EA">
        <w:t xml:space="preserve"> </w:t>
      </w:r>
      <w:r w:rsidRPr="00775E0E">
        <w:t>world decisions.</w:t>
      </w:r>
    </w:p>
    <w:p w14:paraId="3054CCAF" w14:textId="77777777" w:rsidR="009854B8" w:rsidRPr="009854B8" w:rsidRDefault="009854B8" w:rsidP="009854B8"/>
    <w:p w14:paraId="6BB0B01C" w14:textId="7736561F" w:rsidR="00307B5A" w:rsidRDefault="21EF29E7" w:rsidP="18C4EE17">
      <w:pPr>
        <w:pStyle w:val="Heading2"/>
      </w:pPr>
      <w:r w:rsidRPr="18C4EE17">
        <w:t>References</w:t>
      </w:r>
    </w:p>
    <w:p w14:paraId="3D3CDAF8" w14:textId="271FA516" w:rsidR="41DC423B" w:rsidRDefault="00775E0E" w:rsidP="18C4EE17">
      <w:r w:rsidRPr="00775E0E">
        <w:t xml:space="preserve">FEMA National Risk Index. (2025). </w:t>
      </w:r>
      <w:r w:rsidRPr="00775E0E">
        <w:rPr>
          <w:i/>
          <w:iCs/>
        </w:rPr>
        <w:t>Understanding scores and ratings</w:t>
      </w:r>
      <w:r w:rsidRPr="00775E0E">
        <w:t xml:space="preserve">. </w:t>
      </w:r>
      <w:hyperlink r:id="rId5" w:tgtFrame="_new" w:history="1">
        <w:r w:rsidRPr="00775E0E">
          <w:rPr>
            <w:rStyle w:val="Hyperlink"/>
          </w:rPr>
          <w:t>https://hazards.fema.gov/nri/understanding-scores-ratings</w:t>
        </w:r>
      </w:hyperlink>
    </w:p>
    <w:sectPr w:rsidR="41DC4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0B11"/>
    <w:multiLevelType w:val="hybridMultilevel"/>
    <w:tmpl w:val="D708C91A"/>
    <w:lvl w:ilvl="0" w:tplc="8F30B46A">
      <w:start w:val="1"/>
      <w:numFmt w:val="bullet"/>
      <w:lvlText w:val=""/>
      <w:lvlJc w:val="left"/>
      <w:pPr>
        <w:ind w:left="720" w:hanging="360"/>
      </w:pPr>
      <w:rPr>
        <w:rFonts w:ascii="Symbol" w:hAnsi="Symbol" w:hint="default"/>
      </w:rPr>
    </w:lvl>
    <w:lvl w:ilvl="1" w:tplc="DFFA1B82">
      <w:start w:val="1"/>
      <w:numFmt w:val="bullet"/>
      <w:lvlText w:val="o"/>
      <w:lvlJc w:val="left"/>
      <w:pPr>
        <w:ind w:left="1440" w:hanging="360"/>
      </w:pPr>
      <w:rPr>
        <w:rFonts w:ascii="Courier New" w:hAnsi="Courier New" w:hint="default"/>
      </w:rPr>
    </w:lvl>
    <w:lvl w:ilvl="2" w:tplc="942267B6">
      <w:start w:val="1"/>
      <w:numFmt w:val="bullet"/>
      <w:lvlText w:val=""/>
      <w:lvlJc w:val="left"/>
      <w:pPr>
        <w:ind w:left="2160" w:hanging="360"/>
      </w:pPr>
      <w:rPr>
        <w:rFonts w:ascii="Wingdings" w:hAnsi="Wingdings" w:hint="default"/>
      </w:rPr>
    </w:lvl>
    <w:lvl w:ilvl="3" w:tplc="2458A640">
      <w:start w:val="1"/>
      <w:numFmt w:val="bullet"/>
      <w:lvlText w:val=""/>
      <w:lvlJc w:val="left"/>
      <w:pPr>
        <w:ind w:left="2880" w:hanging="360"/>
      </w:pPr>
      <w:rPr>
        <w:rFonts w:ascii="Symbol" w:hAnsi="Symbol" w:hint="default"/>
      </w:rPr>
    </w:lvl>
    <w:lvl w:ilvl="4" w:tplc="4FA4BAAA">
      <w:start w:val="1"/>
      <w:numFmt w:val="bullet"/>
      <w:lvlText w:val="o"/>
      <w:lvlJc w:val="left"/>
      <w:pPr>
        <w:ind w:left="3600" w:hanging="360"/>
      </w:pPr>
      <w:rPr>
        <w:rFonts w:ascii="Courier New" w:hAnsi="Courier New" w:hint="default"/>
      </w:rPr>
    </w:lvl>
    <w:lvl w:ilvl="5" w:tplc="98AEE046">
      <w:start w:val="1"/>
      <w:numFmt w:val="bullet"/>
      <w:lvlText w:val=""/>
      <w:lvlJc w:val="left"/>
      <w:pPr>
        <w:ind w:left="4320" w:hanging="360"/>
      </w:pPr>
      <w:rPr>
        <w:rFonts w:ascii="Wingdings" w:hAnsi="Wingdings" w:hint="default"/>
      </w:rPr>
    </w:lvl>
    <w:lvl w:ilvl="6" w:tplc="72B402E2">
      <w:start w:val="1"/>
      <w:numFmt w:val="bullet"/>
      <w:lvlText w:val=""/>
      <w:lvlJc w:val="left"/>
      <w:pPr>
        <w:ind w:left="5040" w:hanging="360"/>
      </w:pPr>
      <w:rPr>
        <w:rFonts w:ascii="Symbol" w:hAnsi="Symbol" w:hint="default"/>
      </w:rPr>
    </w:lvl>
    <w:lvl w:ilvl="7" w:tplc="01661854">
      <w:start w:val="1"/>
      <w:numFmt w:val="bullet"/>
      <w:lvlText w:val="o"/>
      <w:lvlJc w:val="left"/>
      <w:pPr>
        <w:ind w:left="5760" w:hanging="360"/>
      </w:pPr>
      <w:rPr>
        <w:rFonts w:ascii="Courier New" w:hAnsi="Courier New" w:hint="default"/>
      </w:rPr>
    </w:lvl>
    <w:lvl w:ilvl="8" w:tplc="A622EC10">
      <w:start w:val="1"/>
      <w:numFmt w:val="bullet"/>
      <w:lvlText w:val=""/>
      <w:lvlJc w:val="left"/>
      <w:pPr>
        <w:ind w:left="6480" w:hanging="360"/>
      </w:pPr>
      <w:rPr>
        <w:rFonts w:ascii="Wingdings" w:hAnsi="Wingdings" w:hint="default"/>
      </w:rPr>
    </w:lvl>
  </w:abstractNum>
  <w:abstractNum w:abstractNumId="1" w15:restartNumberingAfterBreak="0">
    <w:nsid w:val="4FE7C8CF"/>
    <w:multiLevelType w:val="hybridMultilevel"/>
    <w:tmpl w:val="FB3241F0"/>
    <w:lvl w:ilvl="0" w:tplc="F3CA578A">
      <w:start w:val="1"/>
      <w:numFmt w:val="bullet"/>
      <w:lvlText w:val=""/>
      <w:lvlJc w:val="left"/>
      <w:pPr>
        <w:ind w:left="720" w:hanging="360"/>
      </w:pPr>
      <w:rPr>
        <w:rFonts w:ascii="Symbol" w:hAnsi="Symbol" w:hint="default"/>
      </w:rPr>
    </w:lvl>
    <w:lvl w:ilvl="1" w:tplc="BA807474">
      <w:start w:val="1"/>
      <w:numFmt w:val="bullet"/>
      <w:lvlText w:val="o"/>
      <w:lvlJc w:val="left"/>
      <w:pPr>
        <w:ind w:left="1440" w:hanging="360"/>
      </w:pPr>
      <w:rPr>
        <w:rFonts w:ascii="Courier New" w:hAnsi="Courier New" w:hint="default"/>
      </w:rPr>
    </w:lvl>
    <w:lvl w:ilvl="2" w:tplc="FFD89072">
      <w:start w:val="1"/>
      <w:numFmt w:val="bullet"/>
      <w:lvlText w:val=""/>
      <w:lvlJc w:val="left"/>
      <w:pPr>
        <w:ind w:left="2160" w:hanging="360"/>
      </w:pPr>
      <w:rPr>
        <w:rFonts w:ascii="Wingdings" w:hAnsi="Wingdings" w:hint="default"/>
      </w:rPr>
    </w:lvl>
    <w:lvl w:ilvl="3" w:tplc="DAE29DA0">
      <w:start w:val="1"/>
      <w:numFmt w:val="bullet"/>
      <w:lvlText w:val=""/>
      <w:lvlJc w:val="left"/>
      <w:pPr>
        <w:ind w:left="2880" w:hanging="360"/>
      </w:pPr>
      <w:rPr>
        <w:rFonts w:ascii="Symbol" w:hAnsi="Symbol" w:hint="default"/>
      </w:rPr>
    </w:lvl>
    <w:lvl w:ilvl="4" w:tplc="8D78DA5E">
      <w:start w:val="1"/>
      <w:numFmt w:val="bullet"/>
      <w:lvlText w:val="o"/>
      <w:lvlJc w:val="left"/>
      <w:pPr>
        <w:ind w:left="3600" w:hanging="360"/>
      </w:pPr>
      <w:rPr>
        <w:rFonts w:ascii="Courier New" w:hAnsi="Courier New" w:hint="default"/>
      </w:rPr>
    </w:lvl>
    <w:lvl w:ilvl="5" w:tplc="D9C8679E">
      <w:start w:val="1"/>
      <w:numFmt w:val="bullet"/>
      <w:lvlText w:val=""/>
      <w:lvlJc w:val="left"/>
      <w:pPr>
        <w:ind w:left="4320" w:hanging="360"/>
      </w:pPr>
      <w:rPr>
        <w:rFonts w:ascii="Wingdings" w:hAnsi="Wingdings" w:hint="default"/>
      </w:rPr>
    </w:lvl>
    <w:lvl w:ilvl="6" w:tplc="9022FB9E">
      <w:start w:val="1"/>
      <w:numFmt w:val="bullet"/>
      <w:lvlText w:val=""/>
      <w:lvlJc w:val="left"/>
      <w:pPr>
        <w:ind w:left="5040" w:hanging="360"/>
      </w:pPr>
      <w:rPr>
        <w:rFonts w:ascii="Symbol" w:hAnsi="Symbol" w:hint="default"/>
      </w:rPr>
    </w:lvl>
    <w:lvl w:ilvl="7" w:tplc="936886CC">
      <w:start w:val="1"/>
      <w:numFmt w:val="bullet"/>
      <w:lvlText w:val="o"/>
      <w:lvlJc w:val="left"/>
      <w:pPr>
        <w:ind w:left="5760" w:hanging="360"/>
      </w:pPr>
      <w:rPr>
        <w:rFonts w:ascii="Courier New" w:hAnsi="Courier New" w:hint="default"/>
      </w:rPr>
    </w:lvl>
    <w:lvl w:ilvl="8" w:tplc="B3CAC0C4">
      <w:start w:val="1"/>
      <w:numFmt w:val="bullet"/>
      <w:lvlText w:val=""/>
      <w:lvlJc w:val="left"/>
      <w:pPr>
        <w:ind w:left="6480" w:hanging="360"/>
      </w:pPr>
      <w:rPr>
        <w:rFonts w:ascii="Wingdings" w:hAnsi="Wingdings" w:hint="default"/>
      </w:rPr>
    </w:lvl>
  </w:abstractNum>
  <w:abstractNum w:abstractNumId="2" w15:restartNumberingAfterBreak="0">
    <w:nsid w:val="5628BEC5"/>
    <w:multiLevelType w:val="hybridMultilevel"/>
    <w:tmpl w:val="0714F69A"/>
    <w:lvl w:ilvl="0" w:tplc="2690E79A">
      <w:start w:val="1"/>
      <w:numFmt w:val="bullet"/>
      <w:lvlText w:val=""/>
      <w:lvlJc w:val="left"/>
      <w:pPr>
        <w:ind w:left="720" w:hanging="360"/>
      </w:pPr>
      <w:rPr>
        <w:rFonts w:ascii="Symbol" w:hAnsi="Symbol" w:hint="default"/>
      </w:rPr>
    </w:lvl>
    <w:lvl w:ilvl="1" w:tplc="99D062A4">
      <w:start w:val="1"/>
      <w:numFmt w:val="bullet"/>
      <w:lvlText w:val="o"/>
      <w:lvlJc w:val="left"/>
      <w:pPr>
        <w:ind w:left="1440" w:hanging="360"/>
      </w:pPr>
      <w:rPr>
        <w:rFonts w:ascii="Courier New" w:hAnsi="Courier New" w:hint="default"/>
      </w:rPr>
    </w:lvl>
    <w:lvl w:ilvl="2" w:tplc="972CF3BE">
      <w:start w:val="1"/>
      <w:numFmt w:val="bullet"/>
      <w:lvlText w:val=""/>
      <w:lvlJc w:val="left"/>
      <w:pPr>
        <w:ind w:left="2160" w:hanging="360"/>
      </w:pPr>
      <w:rPr>
        <w:rFonts w:ascii="Wingdings" w:hAnsi="Wingdings" w:hint="default"/>
      </w:rPr>
    </w:lvl>
    <w:lvl w:ilvl="3" w:tplc="44A0097C">
      <w:start w:val="1"/>
      <w:numFmt w:val="bullet"/>
      <w:lvlText w:val=""/>
      <w:lvlJc w:val="left"/>
      <w:pPr>
        <w:ind w:left="2880" w:hanging="360"/>
      </w:pPr>
      <w:rPr>
        <w:rFonts w:ascii="Symbol" w:hAnsi="Symbol" w:hint="default"/>
      </w:rPr>
    </w:lvl>
    <w:lvl w:ilvl="4" w:tplc="5142CA50">
      <w:start w:val="1"/>
      <w:numFmt w:val="bullet"/>
      <w:lvlText w:val="o"/>
      <w:lvlJc w:val="left"/>
      <w:pPr>
        <w:ind w:left="3600" w:hanging="360"/>
      </w:pPr>
      <w:rPr>
        <w:rFonts w:ascii="Courier New" w:hAnsi="Courier New" w:hint="default"/>
      </w:rPr>
    </w:lvl>
    <w:lvl w:ilvl="5" w:tplc="F762FFA4">
      <w:start w:val="1"/>
      <w:numFmt w:val="bullet"/>
      <w:lvlText w:val=""/>
      <w:lvlJc w:val="left"/>
      <w:pPr>
        <w:ind w:left="4320" w:hanging="360"/>
      </w:pPr>
      <w:rPr>
        <w:rFonts w:ascii="Wingdings" w:hAnsi="Wingdings" w:hint="default"/>
      </w:rPr>
    </w:lvl>
    <w:lvl w:ilvl="6" w:tplc="EA6A6686">
      <w:start w:val="1"/>
      <w:numFmt w:val="bullet"/>
      <w:lvlText w:val=""/>
      <w:lvlJc w:val="left"/>
      <w:pPr>
        <w:ind w:left="5040" w:hanging="360"/>
      </w:pPr>
      <w:rPr>
        <w:rFonts w:ascii="Symbol" w:hAnsi="Symbol" w:hint="default"/>
      </w:rPr>
    </w:lvl>
    <w:lvl w:ilvl="7" w:tplc="914CADE8">
      <w:start w:val="1"/>
      <w:numFmt w:val="bullet"/>
      <w:lvlText w:val="o"/>
      <w:lvlJc w:val="left"/>
      <w:pPr>
        <w:ind w:left="5760" w:hanging="360"/>
      </w:pPr>
      <w:rPr>
        <w:rFonts w:ascii="Courier New" w:hAnsi="Courier New" w:hint="default"/>
      </w:rPr>
    </w:lvl>
    <w:lvl w:ilvl="8" w:tplc="41F269C0">
      <w:start w:val="1"/>
      <w:numFmt w:val="bullet"/>
      <w:lvlText w:val=""/>
      <w:lvlJc w:val="left"/>
      <w:pPr>
        <w:ind w:left="6480" w:hanging="360"/>
      </w:pPr>
      <w:rPr>
        <w:rFonts w:ascii="Wingdings" w:hAnsi="Wingdings" w:hint="default"/>
      </w:rPr>
    </w:lvl>
  </w:abstractNum>
  <w:abstractNum w:abstractNumId="3" w15:restartNumberingAfterBreak="0">
    <w:nsid w:val="5A347F80"/>
    <w:multiLevelType w:val="hybridMultilevel"/>
    <w:tmpl w:val="E594F1A6"/>
    <w:lvl w:ilvl="0" w:tplc="33B03F56">
      <w:start w:val="1"/>
      <w:numFmt w:val="decimal"/>
      <w:lvlText w:val="%1."/>
      <w:lvlJc w:val="left"/>
      <w:pPr>
        <w:ind w:left="720" w:hanging="360"/>
      </w:pPr>
    </w:lvl>
    <w:lvl w:ilvl="1" w:tplc="2EFCCAD0">
      <w:start w:val="1"/>
      <w:numFmt w:val="lowerLetter"/>
      <w:lvlText w:val="%2."/>
      <w:lvlJc w:val="left"/>
      <w:pPr>
        <w:ind w:left="1440" w:hanging="360"/>
      </w:pPr>
    </w:lvl>
    <w:lvl w:ilvl="2" w:tplc="4800B27E">
      <w:start w:val="1"/>
      <w:numFmt w:val="lowerRoman"/>
      <w:lvlText w:val="%3."/>
      <w:lvlJc w:val="right"/>
      <w:pPr>
        <w:ind w:left="2160" w:hanging="180"/>
      </w:pPr>
    </w:lvl>
    <w:lvl w:ilvl="3" w:tplc="317A6A2C">
      <w:start w:val="1"/>
      <w:numFmt w:val="decimal"/>
      <w:lvlText w:val="%4."/>
      <w:lvlJc w:val="left"/>
      <w:pPr>
        <w:ind w:left="2880" w:hanging="360"/>
      </w:pPr>
    </w:lvl>
    <w:lvl w:ilvl="4" w:tplc="AC5E29A0">
      <w:start w:val="1"/>
      <w:numFmt w:val="lowerLetter"/>
      <w:lvlText w:val="%5."/>
      <w:lvlJc w:val="left"/>
      <w:pPr>
        <w:ind w:left="3600" w:hanging="360"/>
      </w:pPr>
    </w:lvl>
    <w:lvl w:ilvl="5" w:tplc="55B8C548">
      <w:start w:val="1"/>
      <w:numFmt w:val="lowerRoman"/>
      <w:lvlText w:val="%6."/>
      <w:lvlJc w:val="right"/>
      <w:pPr>
        <w:ind w:left="4320" w:hanging="180"/>
      </w:pPr>
    </w:lvl>
    <w:lvl w:ilvl="6" w:tplc="06C04D4E">
      <w:start w:val="1"/>
      <w:numFmt w:val="decimal"/>
      <w:lvlText w:val="%7."/>
      <w:lvlJc w:val="left"/>
      <w:pPr>
        <w:ind w:left="5040" w:hanging="360"/>
      </w:pPr>
    </w:lvl>
    <w:lvl w:ilvl="7" w:tplc="281069E6">
      <w:start w:val="1"/>
      <w:numFmt w:val="lowerLetter"/>
      <w:lvlText w:val="%8."/>
      <w:lvlJc w:val="left"/>
      <w:pPr>
        <w:ind w:left="5760" w:hanging="360"/>
      </w:pPr>
    </w:lvl>
    <w:lvl w:ilvl="8" w:tplc="373A3932">
      <w:start w:val="1"/>
      <w:numFmt w:val="lowerRoman"/>
      <w:lvlText w:val="%9."/>
      <w:lvlJc w:val="right"/>
      <w:pPr>
        <w:ind w:left="6480" w:hanging="180"/>
      </w:pPr>
    </w:lvl>
  </w:abstractNum>
  <w:abstractNum w:abstractNumId="4" w15:restartNumberingAfterBreak="0">
    <w:nsid w:val="5BAC1867"/>
    <w:multiLevelType w:val="hybridMultilevel"/>
    <w:tmpl w:val="0AFE0A86"/>
    <w:lvl w:ilvl="0" w:tplc="F41A3C06">
      <w:start w:val="1"/>
      <w:numFmt w:val="bullet"/>
      <w:lvlText w:val=""/>
      <w:lvlJc w:val="left"/>
      <w:pPr>
        <w:ind w:left="720" w:hanging="360"/>
      </w:pPr>
      <w:rPr>
        <w:rFonts w:ascii="Symbol" w:hAnsi="Symbol" w:hint="default"/>
      </w:rPr>
    </w:lvl>
    <w:lvl w:ilvl="1" w:tplc="1C74E364">
      <w:start w:val="1"/>
      <w:numFmt w:val="bullet"/>
      <w:lvlText w:val="o"/>
      <w:lvlJc w:val="left"/>
      <w:pPr>
        <w:ind w:left="1440" w:hanging="360"/>
      </w:pPr>
      <w:rPr>
        <w:rFonts w:ascii="Courier New" w:hAnsi="Courier New" w:hint="default"/>
      </w:rPr>
    </w:lvl>
    <w:lvl w:ilvl="2" w:tplc="19D8EFD0">
      <w:start w:val="1"/>
      <w:numFmt w:val="bullet"/>
      <w:lvlText w:val=""/>
      <w:lvlJc w:val="left"/>
      <w:pPr>
        <w:ind w:left="2160" w:hanging="360"/>
      </w:pPr>
      <w:rPr>
        <w:rFonts w:ascii="Wingdings" w:hAnsi="Wingdings" w:hint="default"/>
      </w:rPr>
    </w:lvl>
    <w:lvl w:ilvl="3" w:tplc="8FAC472A">
      <w:start w:val="1"/>
      <w:numFmt w:val="bullet"/>
      <w:lvlText w:val=""/>
      <w:lvlJc w:val="left"/>
      <w:pPr>
        <w:ind w:left="2880" w:hanging="360"/>
      </w:pPr>
      <w:rPr>
        <w:rFonts w:ascii="Symbol" w:hAnsi="Symbol" w:hint="default"/>
      </w:rPr>
    </w:lvl>
    <w:lvl w:ilvl="4" w:tplc="A47EE350">
      <w:start w:val="1"/>
      <w:numFmt w:val="bullet"/>
      <w:lvlText w:val="o"/>
      <w:lvlJc w:val="left"/>
      <w:pPr>
        <w:ind w:left="3600" w:hanging="360"/>
      </w:pPr>
      <w:rPr>
        <w:rFonts w:ascii="Courier New" w:hAnsi="Courier New" w:hint="default"/>
      </w:rPr>
    </w:lvl>
    <w:lvl w:ilvl="5" w:tplc="201E7EEE">
      <w:start w:val="1"/>
      <w:numFmt w:val="bullet"/>
      <w:lvlText w:val=""/>
      <w:lvlJc w:val="left"/>
      <w:pPr>
        <w:ind w:left="4320" w:hanging="360"/>
      </w:pPr>
      <w:rPr>
        <w:rFonts w:ascii="Wingdings" w:hAnsi="Wingdings" w:hint="default"/>
      </w:rPr>
    </w:lvl>
    <w:lvl w:ilvl="6" w:tplc="17208FA6">
      <w:start w:val="1"/>
      <w:numFmt w:val="bullet"/>
      <w:lvlText w:val=""/>
      <w:lvlJc w:val="left"/>
      <w:pPr>
        <w:ind w:left="5040" w:hanging="360"/>
      </w:pPr>
      <w:rPr>
        <w:rFonts w:ascii="Symbol" w:hAnsi="Symbol" w:hint="default"/>
      </w:rPr>
    </w:lvl>
    <w:lvl w:ilvl="7" w:tplc="526C63B8">
      <w:start w:val="1"/>
      <w:numFmt w:val="bullet"/>
      <w:lvlText w:val="o"/>
      <w:lvlJc w:val="left"/>
      <w:pPr>
        <w:ind w:left="5760" w:hanging="360"/>
      </w:pPr>
      <w:rPr>
        <w:rFonts w:ascii="Courier New" w:hAnsi="Courier New" w:hint="default"/>
      </w:rPr>
    </w:lvl>
    <w:lvl w:ilvl="8" w:tplc="F25C440E">
      <w:start w:val="1"/>
      <w:numFmt w:val="bullet"/>
      <w:lvlText w:val=""/>
      <w:lvlJc w:val="left"/>
      <w:pPr>
        <w:ind w:left="6480" w:hanging="360"/>
      </w:pPr>
      <w:rPr>
        <w:rFonts w:ascii="Wingdings" w:hAnsi="Wingdings" w:hint="default"/>
      </w:rPr>
    </w:lvl>
  </w:abstractNum>
  <w:num w:numId="1" w16cid:durableId="658121989">
    <w:abstractNumId w:val="4"/>
  </w:num>
  <w:num w:numId="2" w16cid:durableId="1428770044">
    <w:abstractNumId w:val="2"/>
  </w:num>
  <w:num w:numId="3" w16cid:durableId="1552107549">
    <w:abstractNumId w:val="1"/>
  </w:num>
  <w:num w:numId="4" w16cid:durableId="473252476">
    <w:abstractNumId w:val="0"/>
  </w:num>
  <w:num w:numId="5" w16cid:durableId="307167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oNotTrackMoves/>
  <w:doNotTrackFormatting/>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8C5A22"/>
    <w:rsid w:val="00104C5A"/>
    <w:rsid w:val="00307B5A"/>
    <w:rsid w:val="0035036A"/>
    <w:rsid w:val="0039098B"/>
    <w:rsid w:val="003B44EA"/>
    <w:rsid w:val="004E4759"/>
    <w:rsid w:val="005E4B1D"/>
    <w:rsid w:val="005F0A08"/>
    <w:rsid w:val="006F6398"/>
    <w:rsid w:val="00775E0E"/>
    <w:rsid w:val="00852347"/>
    <w:rsid w:val="009854B8"/>
    <w:rsid w:val="00CC43AD"/>
    <w:rsid w:val="00D42F8D"/>
    <w:rsid w:val="00D725B0"/>
    <w:rsid w:val="05C835DD"/>
    <w:rsid w:val="07F0F83B"/>
    <w:rsid w:val="0AFAFE95"/>
    <w:rsid w:val="0FB1AA6E"/>
    <w:rsid w:val="119ABEB5"/>
    <w:rsid w:val="1798763C"/>
    <w:rsid w:val="18C4EE17"/>
    <w:rsid w:val="1EB74200"/>
    <w:rsid w:val="216B3226"/>
    <w:rsid w:val="21EF29E7"/>
    <w:rsid w:val="240CE6CF"/>
    <w:rsid w:val="25F8EA00"/>
    <w:rsid w:val="277867FA"/>
    <w:rsid w:val="290BDEF5"/>
    <w:rsid w:val="29426FAF"/>
    <w:rsid w:val="37DF236A"/>
    <w:rsid w:val="38619704"/>
    <w:rsid w:val="3CDA1FB7"/>
    <w:rsid w:val="3D968883"/>
    <w:rsid w:val="3DA45B98"/>
    <w:rsid w:val="41DC423B"/>
    <w:rsid w:val="4493999E"/>
    <w:rsid w:val="44C2CF74"/>
    <w:rsid w:val="4628C498"/>
    <w:rsid w:val="4744419D"/>
    <w:rsid w:val="48B5E685"/>
    <w:rsid w:val="4A1528C2"/>
    <w:rsid w:val="4F8C5A22"/>
    <w:rsid w:val="50B05CF6"/>
    <w:rsid w:val="50D65FB2"/>
    <w:rsid w:val="5293A3B8"/>
    <w:rsid w:val="54A75E5A"/>
    <w:rsid w:val="6135EF6E"/>
    <w:rsid w:val="65B05A41"/>
    <w:rsid w:val="6E561F8D"/>
    <w:rsid w:val="7427039C"/>
    <w:rsid w:val="7598D232"/>
    <w:rsid w:val="7E6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C5A22"/>
  <w15:chartTrackingRefBased/>
  <w15:docId w15:val="{E244E5C0-A5CB-4000-B7BD-9108ECB5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8C4E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8C4E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8C4E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8C4EE1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8C4EE17"/>
    <w:pPr>
      <w:ind w:left="720"/>
      <w:contextualSpacing/>
    </w:pPr>
  </w:style>
  <w:style w:type="character" w:styleId="Hyperlink">
    <w:name w:val="Hyperlink"/>
    <w:basedOn w:val="DefaultParagraphFont"/>
    <w:uiPriority w:val="99"/>
    <w:unhideWhenUsed/>
    <w:rsid w:val="00775E0E"/>
    <w:rPr>
      <w:color w:val="467886" w:themeColor="hyperlink"/>
      <w:u w:val="single"/>
    </w:rPr>
  </w:style>
  <w:style w:type="character" w:styleId="UnresolvedMention">
    <w:name w:val="Unresolved Mention"/>
    <w:basedOn w:val="DefaultParagraphFont"/>
    <w:uiPriority w:val="99"/>
    <w:semiHidden/>
    <w:unhideWhenUsed/>
    <w:rsid w:val="00775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azards.fema.gov/nri/understanding-scores-rating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Geer</dc:creator>
  <cp:keywords/>
  <dc:description/>
  <cp:lastModifiedBy>Cole Geer</cp:lastModifiedBy>
  <cp:revision>2</cp:revision>
  <dcterms:created xsi:type="dcterms:W3CDTF">2026-04-21T16:27:00Z</dcterms:created>
  <dcterms:modified xsi:type="dcterms:W3CDTF">2026-04-21T16:27:00Z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7c84b3af-6340-43b1-a07b-4ba9248c6366</vt:lpwstr>
  </property>
</Properties>
</file>