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Introdução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Contagem bacteriana total (CBT) no leite de vaca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Estudo desenvolvido no estado de Rio Grande do Norte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Órgão regulador: Ministério da Agricultura, Pecuária e Abastecimento (MAPA) </w:t>
      </w:r>
    </w:p>
    <w:p>
      <w:pPr>
        <w:pStyle w:val="ListParagraph"/>
        <w:numPr>
          <w:ilvl w:val="0"/>
          <w:numId w:val="1"/>
        </w:numPr>
        <w:rPr/>
      </w:pPr>
      <w:r>
        <w:rPr/>
        <w:t>Limite imposto de contagem de bactérias a partir de Jul/2010 é de 750.000 ufc/mL</w:t>
      </w:r>
    </w:p>
    <w:p>
      <w:pPr>
        <w:pStyle w:val="ListParagraph"/>
        <w:numPr>
          <w:ilvl w:val="0"/>
          <w:numId w:val="1"/>
        </w:numPr>
        <w:rPr/>
      </w:pPr>
      <w:r>
        <w:rPr/>
        <w:t>Limite imposto de contagem de bactérias a partir de Jul/2012 é de 100.000 ufc/mL para se adequar às normas internacionais</w:t>
      </w:r>
    </w:p>
    <w:p>
      <w:pPr>
        <w:pStyle w:val="ListParagraph"/>
        <w:numPr>
          <w:ilvl w:val="0"/>
          <w:numId w:val="1"/>
        </w:numPr>
        <w:rPr/>
      </w:pPr>
      <w:r>
        <w:rPr/>
        <w:t>O limite na União europeia e nova zelandia é de 100.000 ufc/mL, e no Canadá é de 750.000 ufc/mL</w:t>
      </w:r>
    </w:p>
    <w:p>
      <w:pPr>
        <w:pStyle w:val="ListParagraph"/>
        <w:numPr>
          <w:ilvl w:val="0"/>
          <w:numId w:val="1"/>
        </w:numPr>
        <w:rPr/>
      </w:pPr>
      <w:r>
        <w:rPr/>
        <w:t>Após 10 meses de monitoramento, mais de 50% das amos</w:t>
      </w:r>
      <w:bookmarkStart w:id="0" w:name="_GoBack"/>
      <w:bookmarkEnd w:id="0"/>
      <w:r>
        <w:rPr/>
        <w:t>tras apresentaram CBT acima do limite permitido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>Objetivos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Propor modelo estatístico a fim de avaliar impactos de alguns procedimentos na CBT, como: </w:t>
      </w:r>
    </w:p>
    <w:p>
      <w:pPr>
        <w:pStyle w:val="ListParagraph"/>
        <w:numPr>
          <w:ilvl w:val="1"/>
          <w:numId w:val="1"/>
        </w:numPr>
        <w:rPr/>
      </w:pPr>
      <w:r>
        <w:rPr/>
        <w:t>Manejo</w:t>
      </w:r>
    </w:p>
    <w:p>
      <w:pPr>
        <w:pStyle w:val="ListParagraph"/>
        <w:numPr>
          <w:ilvl w:val="1"/>
          <w:numId w:val="1"/>
        </w:numPr>
        <w:rPr/>
      </w:pPr>
      <w:r>
        <w:rPr/>
        <w:t>Ordenha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Limpeza de equipamentos </w:t>
      </w:r>
    </w:p>
    <w:p>
      <w:pPr>
        <w:pStyle w:val="ListParagraph"/>
        <w:numPr>
          <w:ilvl w:val="1"/>
          <w:numId w:val="1"/>
        </w:numPr>
        <w:rPr/>
      </w:pPr>
      <w:r>
        <w:rPr/>
        <w:t>Tanque de resfriamento</w:t>
      </w:r>
    </w:p>
    <w:p>
      <w:pPr>
        <w:pStyle w:val="ListParagraph"/>
        <w:numPr>
          <w:ilvl w:val="0"/>
          <w:numId w:val="1"/>
        </w:numPr>
        <w:rPr/>
      </w:pPr>
      <w:r>
        <w:rPr/>
        <w:t>Comparar duas abordagens:</w:t>
      </w:r>
    </w:p>
    <w:p>
      <w:pPr>
        <w:pStyle w:val="ListParagraph"/>
        <w:numPr>
          <w:ilvl w:val="1"/>
          <w:numId w:val="1"/>
        </w:numPr>
        <w:rPr/>
      </w:pPr>
      <w:r>
        <w:rPr/>
        <w:t>Modelos marginais</w:t>
      </w:r>
    </w:p>
    <w:p>
      <w:pPr>
        <w:pStyle w:val="ListParagraph"/>
        <w:numPr>
          <w:ilvl w:val="1"/>
          <w:numId w:val="1"/>
        </w:numPr>
        <w:rPr/>
      </w:pPr>
      <w:r>
        <w:rPr/>
        <w:t>Modelos de efeitos mistos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>Materiais e métodos</w:t>
      </w:r>
    </w:p>
    <w:p>
      <w:pPr>
        <w:pStyle w:val="ListParagraph"/>
        <w:numPr>
          <w:ilvl w:val="0"/>
          <w:numId w:val="1"/>
        </w:numPr>
        <w:rPr/>
      </w:pPr>
      <w:r>
        <w:rPr/>
        <w:t>Estudo conduzido em oito propriedades na região agreste do Rio Grande do Norte</w:t>
      </w:r>
    </w:p>
    <w:p>
      <w:pPr>
        <w:pStyle w:val="ListParagraph"/>
        <w:numPr>
          <w:ilvl w:val="0"/>
          <w:numId w:val="1"/>
        </w:numPr>
        <w:rPr/>
      </w:pPr>
      <w:r>
        <w:rPr/>
        <w:t>Mensalmente coletadas quatro medidas repetidas, uma por semana, de Jan/2010 a Jul/2011, totalizando 74 amostras.</w:t>
      </w:r>
    </w:p>
    <w:p>
      <w:pPr>
        <w:pStyle w:val="ListParagraph"/>
        <w:numPr>
          <w:ilvl w:val="0"/>
          <w:numId w:val="1"/>
        </w:numPr>
        <w:rPr/>
      </w:pPr>
      <w:r>
        <w:rPr/>
        <w:t>Estudo foi desenvolvido em três períodos</w:t>
      </w:r>
    </w:p>
    <w:p>
      <w:pPr>
        <w:pStyle w:val="ListParagraph"/>
        <w:numPr>
          <w:ilvl w:val="1"/>
          <w:numId w:val="1"/>
        </w:numPr>
        <w:rPr/>
      </w:pPr>
      <w:r>
        <w:rPr/>
        <w:t>Diagnóstico – Jan/2010 a Abr/2010</w:t>
      </w:r>
    </w:p>
    <w:p>
      <w:pPr>
        <w:pStyle w:val="ListParagraph"/>
        <w:numPr>
          <w:ilvl w:val="1"/>
          <w:numId w:val="1"/>
        </w:numPr>
        <w:rPr/>
      </w:pPr>
      <w:r>
        <w:rPr/>
        <w:t>Capacitação – Mai/2010 a Dez/2010</w:t>
      </w:r>
    </w:p>
    <w:p>
      <w:pPr>
        <w:pStyle w:val="ListParagraph"/>
        <w:numPr>
          <w:ilvl w:val="1"/>
          <w:numId w:val="1"/>
        </w:numPr>
        <w:rPr/>
      </w:pPr>
      <w:r>
        <w:rPr/>
        <w:t>Acompanhamento – Jan/2011 a Jul/2011</w:t>
      </w:r>
    </w:p>
    <w:p>
      <w:pPr>
        <w:pStyle w:val="ListParagraph"/>
        <w:numPr>
          <w:ilvl w:val="0"/>
          <w:numId w:val="1"/>
        </w:numPr>
        <w:rPr/>
      </w:pPr>
      <w:r>
        <w:rPr/>
        <w:t>Agruparam-se os fatores em três categorias:</w:t>
      </w:r>
    </w:p>
    <w:p>
      <w:pPr>
        <w:pStyle w:val="ListParagraph"/>
        <w:numPr>
          <w:ilvl w:val="1"/>
          <w:numId w:val="1"/>
        </w:numPr>
        <w:rPr/>
      </w:pPr>
      <w:r>
        <w:rPr/>
        <w:t>Manejo da ordenha: (1) teste da caneca, (2) pré-dipping, (3) secagem com papel toalha</w:t>
      </w:r>
    </w:p>
    <w:p>
      <w:pPr>
        <w:pStyle w:val="ListParagraph"/>
        <w:numPr>
          <w:ilvl w:val="1"/>
          <w:numId w:val="1"/>
        </w:numPr>
        <w:rPr/>
      </w:pPr>
      <w:r>
        <w:rPr/>
        <w:t>Limpeza 1: (4) sanitização adequada da ordenha, (5) limpeza alcalina adequada da ordenha, (6) limpeza ácida adequada da ordenha</w:t>
      </w:r>
    </w:p>
    <w:p>
      <w:pPr>
        <w:pStyle w:val="ListParagraph"/>
        <w:numPr>
          <w:ilvl w:val="1"/>
          <w:numId w:val="1"/>
        </w:numPr>
        <w:rPr/>
      </w:pPr>
      <w:r>
        <w:rPr/>
        <w:t>Limpeza 2: (7) resfriamento do tanque, (8) sanitização adequada do tanque, (9) limpeza adequada do tanque, (10) limpeza mecânica adequada do tanque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Cada uma dessas categorias levou em conta a realização (ou não) dos fatores englobados</w:t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26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Application>LibreOffice/6.1.6.3$Linux_X86_64 LibreOffice_project/10$Build-3</Application>
  <Pages>3</Pages>
  <Words>279</Words>
  <Characters>1443</Characters>
  <CharactersWithSpaces>1674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2019-11-18T22:08:00Z</dcterms:created>
  <dc:creator>Usuário do Windows</dc:creator>
  <dc:description/>
  <dc:language>pt-BR</dc:language>
  <cp:lastModifiedBy/>
  <dcterms:modified xsi:type="dcterms:W3CDTF">2019-11-20T21:42:12Z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