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合作协议：甲方与乙方于 2026 年签署。</w:t>
      </w:r>
    </w:p>
    <w:sectPr>
      <w:pgSz w:w="11906" w:h="16838"/>
      <w:pgMar w:top="1440" w:right="1800" w:bottom="1440" w:left="1800" w:header="851" w:footer="992" w:gutter="0"/>
    </w:sectPr>
  </w:body>
</w:document>
</file>