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논문 개요 (연구 계획 초안)</w:t>
      </w:r>
    </w:p>
    <w:p>
      <w:pPr>
        <w:pBdr>
          <w:left w:val="single" w:color="1F4E79" w:sz="12" w:space="8"/>
        </w:pBdr>
        <w:spacing w:after="60"/>
        <w:ind w:left="360"/>
      </w:pPr>
      <w:r>
        <w:rPr>
          <w:color w:val="404040"/>
        </w:rPr>
        <w:t xml:space="preserve">연구를 시작하기 전에 논문 전체의 뼈대를 잡아두는 문서예요. 지도교수님 면담이나 연구 계획서 작성의 바탕으로 쓰세요.</w:t>
      </w:r>
    </w:p>
    <w:p>
      <w:pPr>
        <w:pBdr>
          <w:left w:val="single" w:color="1F4E79" w:sz="12" w:space="8"/>
        </w:pBdr>
        <w:spacing w:after="60"/>
        <w:ind w:left="360"/>
      </w:pPr>
      <w:r>
        <w:rPr>
          <w:color w:val="404040"/>
        </w:rPr>
        <w:t xml:space="preserve">주제 검토는 </w:t>
      </w:r>
      <w:r>
        <w:rPr>
          <w:color w:val="404040"/>
        </w:rPr>
        <w:t xml:space="preserve">topic.md</w:t>
      </w:r>
      <w:r>
        <w:rPr>
          <w:color w:val="404040"/>
        </w:rPr>
        <w:t xml:space="preserve">, 실험 설계는 </w:t>
      </w:r>
      <w:r>
        <w:rPr>
          <w:color w:val="404040"/>
        </w:rPr>
        <w:t xml:space="preserve">research-design.md</w:t>
      </w:r>
      <w:r>
        <w:rPr>
          <w:color w:val="404040"/>
        </w:rPr>
        <w:t xml:space="preserve">, 참고문헌은 </w:t>
      </w:r>
      <w:r>
        <w:rPr>
          <w:color w:val="404040"/>
        </w:rPr>
        <w:t xml:space="preserve">literature-review.md</w:t>
      </w:r>
      <w:r>
        <w:rPr>
          <w:color w:val="404040"/>
        </w:rPr>
        <w:t xml:space="preserve">에 있어요.</w:t>
      </w:r>
    </w:p>
    <w:p>
      <w:pPr>
        <w:spacing w:after="60"/>
      </w:pPr>
    </w:p>
    <w:p>
      <w:pPr>
        <w:pStyle w:val="Heading1"/>
      </w:pPr>
      <w:r>
        <w:t xml:space="preserve">1. 제목 후보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48"/>
        <w:gridCol w:w="4278"/>
        <w:gridCol w:w="4280"/>
      </w:tblGrid>
      <w:tr>
        <w:trPr>
          <w:tblHeader/>
        </w:trPr>
        <w:tc>
          <w:tcPr>
            <w:tcW w:type="dxa" w:w="7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t>
            </w:r>
          </w:p>
        </w:tc>
        <w:tc>
          <w:tcPr>
            <w:tcW w:type="dxa" w:w="42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국문</w:t>
            </w:r>
          </w:p>
        </w:tc>
        <w:tc>
          <w:tcPr>
            <w:tcW w:type="dxa" w:w="42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영문</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클라우드 스토리지 용량 부족 상황에서 디지털 넛지 유형이 사용자의 정리·결제 선택과 심리적 반발에 미치는 영향</w:t>
            </w:r>
          </w:p>
        </w:tc>
        <w:tc>
          <w:tcPr>
            <w:tcW w:type="dxa" w:w="4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Effects of Digital Nudge Types on Users' Cleanup and Upgrade Choices and Psychological Reactance in Cloud Storage Capacity Shortage</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불쾌하지 않은 넛지: 클라우드 스토리지 이용자의 파일 정리를 이끄는 넛지 설계 연구</w:t>
            </w:r>
          </w:p>
        </w:tc>
        <w:tc>
          <w:tcPr>
            <w:tcW w:type="dxa" w:w="4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Nudging Without Annoying: Designing Nudges for File Cleanup in Cloud Storage</w:t>
            </w:r>
          </w:p>
        </w:tc>
      </w:tr>
      <w:tr>
        <w:trPr>
          <w:tblHeader w:val="off"/>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42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디지털 저장강박 성향에 따른 클라우드 스토리지 넛지의 효과 차이</w:t>
            </w:r>
          </w:p>
        </w:tc>
        <w:tc>
          <w:tcPr>
            <w:tcW w:type="dxa" w:w="4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Differential Effects of Cloud Storage Nudges by Digital Hoarding Tendency</w:t>
            </w:r>
          </w:p>
        </w:tc>
      </w:tr>
    </w:tbl>
    <w:p>
      <w:pPr>
        <w:spacing w:after="120"/>
      </w:pPr>
    </w:p>
    <w:p>
      <w:pPr>
        <w:spacing w:after="120"/>
      </w:pPr>
      <w:r>
        <w:t xml:space="preserve">→ 1번이 연구 내용을 가장 정확히 담고, 2번은 발표용 부제로 쓰기 좋아요.</w:t>
      </w:r>
    </w:p>
    <w:p>
      <w:pPr>
        <w:pStyle w:val="Heading1"/>
      </w:pPr>
      <w:r>
        <w:t xml:space="preserve">2. 한 문단 요약</w:t>
      </w:r>
    </w:p>
    <w:p>
      <w:pPr>
        <w:spacing w:after="120"/>
      </w:pPr>
      <w:r>
        <w:t xml:space="preserve">클라우드 스토리지 이용자 상당수는 파일을 쌓기만 하고 정리하지 않으며, 용량이 가득 차면 서비스는 대개 결제(용량 업그레이드)만 권한다. 이 연구는 용량 부족 순간에 제시되는 넛지의 유형이 사용자의 정리·결제 선택에 어떤 영향을 미치는지, 그리고 그 과정에서 사용자가 느끼는 불쾌감(심리적 반발)은 어떻게 달라지는지를 온라인 실험으로 검증한다. 또한 디지털 저장강박 성향이 넛지의 효과를 조절하는지 살펴본다. 이를 통해 사용자의 자율성을 해치지 않으면서 정리를 돕는 넛지 설계 원칙과, 넛지와 다크 패턴의 경계에 대한 실증적 근거를 제시하고자 한다.</w:t>
      </w:r>
    </w:p>
    <w:p>
      <w:pPr>
        <w:pStyle w:val="Heading1"/>
      </w:pPr>
      <w:r>
        <w:t xml:space="preserve">3. 문제 제기 — 왜 이 연구가 필요한가</w:t>
      </w:r>
    </w:p>
    <w:p>
      <w:pPr>
        <w:spacing w:after="60"/>
        <w:ind w:left="360" w:hanging="360"/>
      </w:pPr>
      <w:r>
        <w:t xml:space="preserve">1. </w:t>
      </w:r>
      <w:r>
        <w:rPr>
          <w:b/>
          <w:bCs/>
        </w:rPr>
        <w:t xml:space="preserve">현상:</w:t>
      </w:r>
      <w:r>
        <w:t xml:space="preserve"> 사람들은 디지털 파일을 잘 지우지 못한다. 클라우드에 저장된 파일의 절반 이상이 잊힌 파일이라는 연구도 있다 (Khan 외, 2018). 저장 비용이 0에 가까워지면서 축적을 막는 장벽도 사라졌다 (Sedera 외, 2022).</w:t>
      </w:r>
    </w:p>
    <w:p>
      <w:pPr>
        <w:spacing w:after="60"/>
        <w:ind w:left="360" w:hanging="360"/>
      </w:pPr>
      <w:r>
        <w:t xml:space="preserve">2. </w:t>
      </w:r>
      <w:r>
        <w:rPr>
          <w:b/>
          <w:bCs/>
        </w:rPr>
        <w:t xml:space="preserve">서비스의 현재 대응:</w:t>
      </w:r>
      <w:r>
        <w:t xml:space="preserve"> 용량이 차면 "업그레이드하세요" 알림을 띄운다. 이는 사용자에게 결제 외의 선택지를 잘 보여주지 않고, 반복되면 불쾌감을 줄 수 있다.</w:t>
      </w:r>
    </w:p>
    <w:p>
      <w:pPr>
        <w:spacing w:after="60"/>
        <w:ind w:left="360" w:hanging="360"/>
      </w:pPr>
      <w:r>
        <w:t xml:space="preserve">3. </w:t>
      </w:r>
      <w:r>
        <w:rPr>
          <w:b/>
          <w:bCs/>
        </w:rPr>
        <w:t xml:space="preserve">연구 공백:</w:t>
      </w:r>
    </w:p>
    <w:p>
      <w:pPr>
        <w:pStyle w:val="ListParagraph"/>
        <w:numPr>
          <w:ilvl w:val="1"/>
          <w:numId w:val="2"/>
        </w:numPr>
        <w:spacing w:after="60"/>
      </w:pPr>
      <w:r>
        <w:t xml:space="preserve">디지털 저장강박 연구는 원인을 설명하지만 </w:t>
      </w:r>
      <w:r>
        <w:rPr>
          <w:b/>
          <w:bCs/>
        </w:rPr>
        <w:t xml:space="preserve">개입 방법</w:t>
      </w:r>
      <w:r>
        <w:t xml:space="preserve">은 거의 다루지 않았다.</w:t>
      </w:r>
    </w:p>
    <w:p>
      <w:pPr>
        <w:pStyle w:val="ListParagraph"/>
        <w:numPr>
          <w:ilvl w:val="1"/>
          <w:numId w:val="2"/>
        </w:numPr>
        <w:spacing w:after="60"/>
      </w:pPr>
      <w:r>
        <w:t xml:space="preserve">정리 도구 연구(KondoCloud 등)는 </w:t>
      </w:r>
      <w:r>
        <w:rPr>
          <w:b/>
          <w:bCs/>
        </w:rPr>
        <w:t xml:space="preserve">효율</w:t>
      </w:r>
      <w:r>
        <w:t xml:space="preserve">은 봤지만 사용자의 </w:t>
      </w:r>
      <w:r>
        <w:rPr>
          <w:b/>
          <w:bCs/>
        </w:rPr>
        <w:t xml:space="preserve">감정 반응</w:t>
      </w:r>
      <w:r>
        <w:t xml:space="preserve">은 측정하지 않았다.</w:t>
      </w:r>
    </w:p>
    <w:p>
      <w:pPr>
        <w:pStyle w:val="ListParagraph"/>
        <w:numPr>
          <w:ilvl w:val="1"/>
          <w:numId w:val="2"/>
        </w:numPr>
        <w:spacing w:after="60"/>
      </w:pPr>
      <w:r>
        <w:t xml:space="preserve">넛지 수용성 연구는 건강·환경 분야 중심이고, </w:t>
      </w:r>
      <w:r>
        <w:rPr>
          <w:b/>
          <w:bCs/>
        </w:rPr>
        <w:t xml:space="preserve">구독형 디지털 서비스</w:t>
      </w:r>
      <w:r>
        <w:t xml:space="preserve"> 맥락은 드물다.</w:t>
      </w:r>
    </w:p>
    <w:p>
      <w:pPr>
        <w:spacing w:after="60"/>
        <w:ind w:left="360" w:hanging="360"/>
      </w:pPr>
      <w:r>
        <w:t xml:space="preserve">4. </w:t>
      </w:r>
      <w:r>
        <w:rPr>
          <w:b/>
          <w:bCs/>
        </w:rPr>
        <w:t xml:space="preserve">따라서:</w:t>
      </w:r>
      <w:r>
        <w:t xml:space="preserve"> 스토리지 맥락에서 "어떤 넛지가, 누구에게, 불쾌감 없이 효과적인가"를 실증적으로 확인할 필요가 있다.</w:t>
      </w:r>
    </w:p>
    <w:p>
      <w:pPr>
        <w:pStyle w:val="Heading1"/>
      </w:pPr>
      <w:r>
        <w:t xml:space="preserve">4. 연구 목적</w:t>
      </w:r>
    </w:p>
    <w:p>
      <w:pPr>
        <w:spacing w:after="60"/>
        <w:ind w:left="360" w:hanging="360"/>
      </w:pPr>
      <w:r>
        <w:t xml:space="preserve">1. </w:t>
      </w:r>
      <w:r>
        <w:t xml:space="preserve">용량 부족 상황에서 넛지 유형에 따라 정리·결제 선택이 어떻게 달라지는지 확인한다.</w:t>
      </w:r>
    </w:p>
    <w:p>
      <w:pPr>
        <w:spacing w:after="60"/>
        <w:ind w:left="360" w:hanging="360"/>
      </w:pPr>
      <w:r>
        <w:t xml:space="preserve">2. </w:t>
      </w:r>
      <w:r>
        <w:t xml:space="preserve">넛지 유형에 따라 사용자가 느끼는 심리적 반발이 어떻게 달라지는지 확인한다.</w:t>
      </w:r>
    </w:p>
    <w:p>
      <w:pPr>
        <w:spacing w:after="60"/>
        <w:ind w:left="360" w:hanging="360"/>
      </w:pPr>
      <w:r>
        <w:t xml:space="preserve">3. </w:t>
      </w:r>
      <w:r>
        <w:t xml:space="preserve">디지털 저장강박 성향이 넛지의 효과를 조절하는지 확인한다.</w:t>
      </w:r>
    </w:p>
    <w:p>
      <w:pPr>
        <w:spacing w:after="60"/>
        <w:ind w:left="360" w:hanging="360"/>
      </w:pPr>
      <w:r>
        <w:t xml:space="preserve">4. </w:t>
      </w:r>
      <w:r>
        <w:t xml:space="preserve">이를 바탕으로 스토리지 서비스를 위한 </w:t>
      </w:r>
      <w:r>
        <w:rPr>
          <w:b/>
          <w:bCs/>
        </w:rPr>
        <w:t xml:space="preserve">자율성을 존중하는 넛지 설계 가이드라인</w:t>
      </w:r>
      <w:r>
        <w:t xml:space="preserve">을 제안한다.</w:t>
      </w:r>
    </w:p>
    <w:p>
      <w:pPr>
        <w:pStyle w:val="Heading1"/>
      </w:pPr>
      <w:r>
        <w:t xml:space="preserve">5. 연구 문제와 가설</w:t>
      </w:r>
    </w:p>
    <w:p>
      <w:pPr>
        <w:spacing w:after="120"/>
      </w:pPr>
      <w:r>
        <w:t xml:space="preserve">가설은 최종 실험 조건에 따라 조정해야 해요. 아래는 조건 5개(통제·추천·기본값·손실 강조·사회적 규범) 기준이에요.</w:t>
      </w:r>
    </w:p>
    <w:p>
      <w:pPr>
        <w:spacing w:after="120"/>
      </w:pPr>
      <w:r>
        <w:rPr>
          <w:b/>
          <w:bCs/>
        </w:rPr>
        <w:t xml:space="preserve">연구 문제 1.</w:t>
      </w:r>
      <w:r>
        <w:t xml:space="preserve"> 넛지 유형에 따라 사용자의 정리·결제 선택은 달라지는가?</w:t>
      </w:r>
    </w:p>
    <w:p>
      <w:pPr>
        <w:pStyle w:val="ListParagraph"/>
        <w:numPr>
          <w:ilvl w:val="0"/>
          <w:numId w:val="2"/>
        </w:numPr>
        <w:spacing w:after="60"/>
      </w:pPr>
      <w:r>
        <w:t xml:space="preserve">H1-1. 추천 넛지 조건은 통제 조건보다 정리를 선택하는 비율이 높을 것이다. (근거: KondoCloud에서 추천을 받은 사용자가 더 많이 정리함 — Brackenbury 외, 2021)</w:t>
      </w:r>
    </w:p>
    <w:p>
      <w:pPr>
        <w:pStyle w:val="ListParagraph"/>
        <w:numPr>
          <w:ilvl w:val="0"/>
          <w:numId w:val="2"/>
        </w:numPr>
        <w:spacing w:after="60"/>
      </w:pPr>
      <w:r>
        <w:t xml:space="preserve">H1-2. 기본값 넛지 조건은 정리 비율이 가장 높을 것이다. (근거: 현상 유지 편향 — Samuelson &amp; Zeckhauser, 1988)</w:t>
      </w:r>
    </w:p>
    <w:p>
      <w:pPr>
        <w:pStyle w:val="ListParagraph"/>
        <w:numPr>
          <w:ilvl w:val="0"/>
          <w:numId w:val="2"/>
        </w:numPr>
        <w:spacing w:after="60"/>
      </w:pPr>
      <w:r>
        <w:t xml:space="preserve">H1-3. 손실 강조 조건은 통제 조건보다 결제 의향이 높을 것이다. (근거: 손실 회피)</w:t>
      </w:r>
    </w:p>
    <w:p>
      <w:pPr>
        <w:spacing w:after="120"/>
      </w:pPr>
      <w:r>
        <w:rPr>
          <w:b/>
          <w:bCs/>
        </w:rPr>
        <w:t xml:space="preserve">연구 문제 2.</w:t>
      </w:r>
      <w:r>
        <w:t xml:space="preserve"> 넛지 유형에 따라 사용자가 느끼는 심리적 반발은 달라지는가?</w:t>
      </w:r>
    </w:p>
    <w:p>
      <w:pPr>
        <w:pStyle w:val="ListParagraph"/>
        <w:numPr>
          <w:ilvl w:val="0"/>
          <w:numId w:val="2"/>
        </w:numPr>
        <w:spacing w:after="60"/>
      </w:pPr>
      <w:r>
        <w:t xml:space="preserve">H2-1. 기본값 넛지는 추천 넛지보다 자유 위협 지각이 높을 것이다. (근거: Bruns &amp; Perino, 2023)</w:t>
      </w:r>
    </w:p>
    <w:p>
      <w:pPr>
        <w:pStyle w:val="ListParagraph"/>
        <w:numPr>
          <w:ilvl w:val="0"/>
          <w:numId w:val="2"/>
        </w:numPr>
        <w:spacing w:after="60"/>
      </w:pPr>
      <w:r>
        <w:t xml:space="preserve">H2-2. 손실 강조 넛지는 추천 넛지보다 심리적 반발이 높을 것이다.</w:t>
      </w:r>
    </w:p>
    <w:p>
      <w:pPr>
        <w:spacing w:after="120"/>
      </w:pPr>
      <w:r>
        <w:rPr>
          <w:b/>
          <w:bCs/>
        </w:rPr>
        <w:t xml:space="preserve">연구 문제 3.</w:t>
      </w:r>
      <w:r>
        <w:t xml:space="preserve"> 심리적 반발은 넛지의 효과를 약화하는가? (매개)</w:t>
      </w:r>
    </w:p>
    <w:p>
      <w:pPr>
        <w:pStyle w:val="ListParagraph"/>
        <w:numPr>
          <w:ilvl w:val="0"/>
          <w:numId w:val="2"/>
        </w:numPr>
        <w:spacing w:after="60"/>
      </w:pPr>
      <w:r>
        <w:t xml:space="preserve">H3. 심리적 반발이 높을수록 정리 의향과 서비스 태도는 낮아질 것이다. (근거: 반발 이론 — Brehm, 1966; Dillard &amp; Shen, 2005)</w:t>
      </w:r>
    </w:p>
    <w:p>
      <w:pPr>
        <w:spacing w:after="120"/>
      </w:pPr>
      <w:r>
        <w:rPr>
          <w:b/>
          <w:bCs/>
        </w:rPr>
        <w:t xml:space="preserve">연구 문제 4.</w:t>
      </w:r>
      <w:r>
        <w:t xml:space="preserve"> 디지털 저장강박 성향은 넛지의 효과를 조절하는가? (조절)</w:t>
      </w:r>
    </w:p>
    <w:p>
      <w:pPr>
        <w:pStyle w:val="ListParagraph"/>
        <w:numPr>
          <w:ilvl w:val="0"/>
          <w:numId w:val="2"/>
        </w:numPr>
        <w:spacing w:after="60"/>
      </w:pPr>
      <w:r>
        <w:t xml:space="preserve">H4. 저장강박 성향이 높은 사용자는 넛지의 정리 효과가 약하고, 반발은 클 것이다. (근거: 삭제의 어려움과 보유 효과 — Neave 외, 2019; Kahneman 외, 1990)</w:t>
      </w:r>
    </w:p>
    <w:p>
      <w:pPr>
        <w:pStyle w:val="Heading1"/>
      </w:pPr>
      <w:r>
        <w:t xml:space="preserve">6. 연구 모형</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
        <w:gridCol w:w="3988"/>
        <w:gridCol w:w="3456"/>
        <w:gridCol w:w="932"/>
      </w:tblGrid>
      <w:tr>
        <w:trPr>
          <w:tblHeader/>
        </w:trPr>
        <w:tc>
          <w:tcPr>
            <w:tcW w:type="dxa" w:w="9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구성 요소</w:t>
            </w:r>
          </w:p>
        </w:tc>
        <w:tc>
          <w:tcPr>
            <w:tcW w:type="dxa" w:w="39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변수</w:t>
            </w:r>
          </w:p>
        </w:tc>
        <w:tc>
          <w:tcPr>
            <w:tcW w:type="dxa" w:w="34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역할</w:t>
            </w:r>
          </w:p>
        </w:tc>
        <w:tc>
          <w:tcPr>
            <w:tcW w:type="dxa" w:w="93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관련 가설</w:t>
            </w:r>
          </w:p>
        </w:tc>
      </w:tr>
      <w:tr>
        <w:trPr>
          <w:tblHeader w:val="off"/>
        </w:trPr>
        <w:tc>
          <w:tcPr>
            <w:tcW w:type="dxa" w:w="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독립변수</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넛지 유형 (통제·추천·기본값·손실 강조·사회적 규범)</w:t>
            </w:r>
          </w:p>
        </w:tc>
        <w:tc>
          <w:tcPr>
            <w:tcW w:type="dxa" w:w="3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실험 조건으로 무작위 배정</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H1, H2</w:t>
            </w:r>
          </w:p>
        </w:tc>
      </w:tr>
      <w:tr>
        <w:trPr>
          <w:tblHeader w:val="off"/>
        </w:trPr>
        <w:tc>
          <w:tcPr>
            <w:tcW w:type="dxa" w:w="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종속변수</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정리 / 결제 선택, 정리 의향, 결제 의향</w:t>
            </w:r>
          </w:p>
        </w:tc>
        <w:tc>
          <w:tcPr>
            <w:tcW w:type="dxa" w:w="3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넛지의 행동 효과</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H1</w:t>
            </w:r>
          </w:p>
        </w:tc>
      </w:tr>
      <w:tr>
        <w:trPr>
          <w:tblHeader w:val="off"/>
        </w:trPr>
        <w:tc>
          <w:tcPr>
            <w:tcW w:type="dxa" w:w="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매개변수</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심리적 반발 (분노, 부정적 인지, 침해감)</w:t>
            </w:r>
          </w:p>
        </w:tc>
        <w:tc>
          <w:tcPr>
            <w:tcW w:type="dxa" w:w="3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넛지 → 반발 → 정리 의향·서비스 태도 (−)</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H2, H3</w:t>
            </w:r>
          </w:p>
        </w:tc>
      </w:tr>
      <w:tr>
        <w:trPr>
          <w:tblHeader w:val="off"/>
        </w:trPr>
        <w:tc>
          <w:tcPr>
            <w:tcW w:type="dxa" w:w="9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조절변수</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디지털 저장강박 성향 (DHQ)</w:t>
            </w:r>
          </w:p>
        </w:tc>
        <w:tc>
          <w:tcPr>
            <w:tcW w:type="dxa" w:w="34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넛지 유형과 선택의 관계를 조절</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H4</w:t>
            </w:r>
          </w:p>
        </w:tc>
      </w:tr>
    </w:tbl>
    <w:p>
      <w:pPr>
        <w:spacing w:after="120"/>
      </w:pPr>
    </w:p>
    <w:p>
      <w:pPr>
        <w:pStyle w:val="Heading1"/>
      </w:pPr>
      <w:r>
        <w:t xml:space="preserve">7. 주요 용어 정의</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19"/>
        <w:gridCol w:w="4595"/>
        <w:gridCol w:w="3792"/>
      </w:tblGrid>
      <w:tr>
        <w:trPr>
          <w:tblHeader/>
        </w:trPr>
        <w:tc>
          <w:tcPr>
            <w:tcW w:type="dxa" w:w="9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용어</w:t>
            </w:r>
          </w:p>
        </w:tc>
        <w:tc>
          <w:tcPr>
            <w:tcW w:type="dxa" w:w="459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이 연구에서의 정의</w:t>
            </w:r>
          </w:p>
        </w:tc>
        <w:tc>
          <w:tcPr>
            <w:tcW w:type="dxa" w:w="379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출처</w:t>
            </w:r>
          </w:p>
        </w:tc>
      </w:tr>
      <w:tr>
        <w:trPr>
          <w:tblHeader w:val="off"/>
        </w:trPr>
        <w:tc>
          <w:tcPr>
            <w:tcW w:type="dxa" w:w="9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디지털 저장강박</w:t>
            </w:r>
          </w:p>
        </w:tc>
        <w:tc>
          <w:tcPr>
            <w:tcW w:type="dxa" w:w="45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디지털 자료를 과도하게 모으고 삭제하기 어려워하는 경향</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Sweeten 외(2018), Neave 외(2019)</w:t>
            </w:r>
          </w:p>
        </w:tc>
      </w:tr>
      <w:tr>
        <w:trPr>
          <w:tblHeader w:val="off"/>
        </w:trPr>
        <w:tc>
          <w:tcPr>
            <w:tcW w:type="dxa" w:w="9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디지털 넛지</w:t>
            </w:r>
          </w:p>
        </w:tc>
        <w:tc>
          <w:tcPr>
            <w:tcW w:type="dxa" w:w="45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사용자 인터페이스 설계 요소로 선택을 제한하지 않으면서 행동을 이끄는 방법</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Weinmann 외(2016)</w:t>
            </w:r>
          </w:p>
        </w:tc>
      </w:tr>
      <w:tr>
        <w:trPr>
          <w:tblHeader w:val="off"/>
        </w:trPr>
        <w:tc>
          <w:tcPr>
            <w:tcW w:type="dxa" w:w="9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심리적 반발</w:t>
            </w:r>
          </w:p>
        </w:tc>
        <w:tc>
          <w:tcPr>
            <w:tcW w:type="dxa" w:w="45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선택의 자유가 위협받는다고 느낄 때 생기는 분노와 부정적 인지</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Brehm(1966), Dillard &amp; Shen(2005)</w:t>
            </w:r>
          </w:p>
        </w:tc>
      </w:tr>
      <w:tr>
        <w:trPr>
          <w:tblHeader w:val="off"/>
        </w:trPr>
        <w:tc>
          <w:tcPr>
            <w:tcW w:type="dxa" w:w="9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다크 패턴</w:t>
            </w:r>
          </w:p>
        </w:tc>
        <w:tc>
          <w:tcPr>
            <w:tcW w:type="dxa" w:w="45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사용자의 이익보다 서비스의 이익을 위해 선택을 조작하는 인터페이스 설계</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Gray 외(2018)</w:t>
            </w:r>
          </w:p>
        </w:tc>
      </w:tr>
      <w:tr>
        <w:trPr>
          <w:tblHeader w:val="off"/>
        </w:trPr>
        <w:tc>
          <w:tcPr>
            <w:tcW w:type="dxa" w:w="9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프리미엄 전환</w:t>
            </w:r>
          </w:p>
        </w:tc>
        <w:tc>
          <w:tcPr>
            <w:tcW w:type="dxa" w:w="45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무료 이용자가 유료 요금제로 업그레이드하는 것</w:t>
            </w:r>
          </w:p>
        </w:tc>
        <w:tc>
          <w:tcPr>
            <w:tcW w:type="dxa" w:w="3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Mäntymäki 외(2020)</w:t>
            </w:r>
          </w:p>
        </w:tc>
      </w:tr>
    </w:tbl>
    <w:p>
      <w:pPr>
        <w:spacing w:after="120"/>
      </w:pPr>
    </w:p>
    <w:p>
      <w:pPr>
        <w:pStyle w:val="Heading1"/>
      </w:pPr>
      <w:r>
        <w:t xml:space="preserve">8. 논문 목차 (안)</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74"/>
        <w:gridCol w:w="1897"/>
        <w:gridCol w:w="2620"/>
        <w:gridCol w:w="3615"/>
      </w:tblGrid>
      <w:tr>
        <w:trPr>
          <w:tblHeader/>
        </w:trPr>
        <w:tc>
          <w:tcPr>
            <w:tcW w:type="dxa" w:w="117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장</w:t>
            </w:r>
          </w:p>
        </w:tc>
        <w:tc>
          <w:tcPr>
            <w:tcW w:type="dxa" w:w="189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절</w:t>
            </w:r>
          </w:p>
        </w:tc>
        <w:tc>
          <w:tcPr>
            <w:tcW w:type="dxa" w:w="26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들어갈 내용</w:t>
            </w:r>
          </w:p>
        </w:tc>
        <w:tc>
          <w:tcPr>
            <w:tcW w:type="dxa" w:w="361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주요 참고문헌</w:t>
            </w: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서론</w:t>
            </w: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 연구 배경</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디지털 자료 축적 현상, 스토리지 서비스의 현재 대응</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Khan 외(2018), Sedera 외(2022)</w:t>
            </w: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 연구 목적</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위 4절</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연구 문제</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위 5절의 연구 문제 4개</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논문 구성</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장별 요약</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이론적 배경</w:t>
            </w: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디지털 저장강박</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정의, 원인, 측정</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Sweeten, Neave, Vitale, Sedera</w:t>
            </w: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2.2 개인 정보 관리와 클라우드 정리</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PIM 연구, 클라우드 정리 도구</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Boardman &amp; Sasse, Bergman &amp; Whittaker, Khan, Brackenbury</w:t>
            </w: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2.3 디지털 넛지</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넛지 개념, 디지털 넛지 유형</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Thaler &amp; Sunstein, Weinmann, Caraban</w:t>
            </w: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2.4 심리적 반발과 넛지의 윤리</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반발 이론, 넛지 수용성, 다크 패턴</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Brehm, Dillard &amp; Shen, Bruns &amp; Perino, Gray, Mathur</w:t>
            </w: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2.5 프리미엄 서비스의 유료 전환</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전환 요인</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Mäntymäki, Wagner</w:t>
            </w: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2.6 연구 가설</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가설 도출</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연구 방법</w:t>
            </w: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 연구 모형</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위 6절</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3.2 실험 설계</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조건, 자극물</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research-design.md</w:t>
            </w: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3.3 참가자</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모집, 표본 크기</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3.4 측정 도구</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척도, 번역 절차</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3.5 절차</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실험 흐름, IRB</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 분석 방법</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ANOVA, 로지스틱 회귀, PROCESS</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 연구 결과</w:t>
            </w: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 표본 특성</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4.2 조작 점검과 신뢰도</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4.3 가설 검증</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가설별 결과</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 추가 분석</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결론</w:t>
            </w: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5.1 연구 요약</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5.2 이론적 시사점</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5.3 실무적 시사점</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넛지 설계 가이드라인</w:t>
            </w: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1174"/>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5.4 한계와 후속 연구</w:t>
            </w: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3615"/>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120"/>
      </w:pPr>
    </w:p>
    <w:p>
      <w:pPr>
        <w:pStyle w:val="Heading1"/>
      </w:pPr>
      <w:r>
        <w:t xml:space="preserve">9. 기대되는 기여</w:t>
      </w:r>
    </w:p>
    <w:p>
      <w:pPr>
        <w:spacing w:after="120"/>
      </w:pPr>
      <w:r>
        <w:rPr>
          <w:b/>
          <w:bCs/>
        </w:rPr>
        <w:t xml:space="preserve">이론적 기여</w:t>
      </w:r>
    </w:p>
    <w:p>
      <w:pPr>
        <w:pStyle w:val="ListParagraph"/>
        <w:numPr>
          <w:ilvl w:val="0"/>
          <w:numId w:val="2"/>
        </w:numPr>
        <w:spacing w:after="60"/>
      </w:pPr>
      <w:r>
        <w:t xml:space="preserve">디지털 저장강박 연구를 "원인 설명"에서 "개입"으로 확장</w:t>
      </w:r>
    </w:p>
    <w:p>
      <w:pPr>
        <w:pStyle w:val="ListParagraph"/>
        <w:numPr>
          <w:ilvl w:val="0"/>
          <w:numId w:val="2"/>
        </w:numPr>
        <w:spacing w:after="60"/>
      </w:pPr>
      <w:r>
        <w:t xml:space="preserve">넛지 수용성·반발 연구를 구독형 디지털 서비스 맥락으로 확장</w:t>
      </w:r>
    </w:p>
    <w:p>
      <w:pPr>
        <w:pStyle w:val="ListParagraph"/>
        <w:numPr>
          <w:ilvl w:val="0"/>
          <w:numId w:val="2"/>
        </w:numPr>
        <w:spacing w:after="60"/>
      </w:pPr>
      <w:r>
        <w:t xml:space="preserve">넛지와 다크 패턴의 경계를 사용자 반응(반발)으로 실증</w:t>
      </w:r>
    </w:p>
    <w:p>
      <w:pPr>
        <w:spacing w:after="120"/>
      </w:pPr>
      <w:r>
        <w:rPr>
          <w:b/>
          <w:bCs/>
        </w:rPr>
        <w:t xml:space="preserve">실무적 기여</w:t>
      </w:r>
    </w:p>
    <w:p>
      <w:pPr>
        <w:pStyle w:val="ListParagraph"/>
        <w:numPr>
          <w:ilvl w:val="0"/>
          <w:numId w:val="2"/>
        </w:numPr>
        <w:spacing w:after="60"/>
      </w:pPr>
      <w:r>
        <w:t xml:space="preserve">스토리지 서비스가 쓸 수 있는 넛지 설계 가이드라인 (어떤 문구·방식이 불쾌감 없이 효과적인가)</w:t>
      </w:r>
    </w:p>
    <w:p>
      <w:pPr>
        <w:pStyle w:val="ListParagraph"/>
        <w:numPr>
          <w:ilvl w:val="0"/>
          <w:numId w:val="2"/>
        </w:numPr>
        <w:spacing w:after="60"/>
      </w:pPr>
      <w:r>
        <w:t xml:space="preserve">사용자 성향(저장강박)에 따른 맞춤형 넛지의 근거</w:t>
      </w:r>
    </w:p>
    <w:p>
      <w:pPr>
        <w:pStyle w:val="Heading1"/>
      </w:pPr>
      <w:r>
        <w:t xml:space="preserve">10. 연구 범위와 예상 한계</w:t>
      </w:r>
    </w:p>
    <w:p>
      <w:pPr>
        <w:pStyle w:val="ListParagraph"/>
        <w:numPr>
          <w:ilvl w:val="0"/>
          <w:numId w:val="2"/>
        </w:numPr>
        <w:spacing w:after="60"/>
      </w:pPr>
      <w:r>
        <w:rPr>
          <w:b/>
          <w:bCs/>
        </w:rPr>
        <w:t xml:space="preserve">범위:</w:t>
      </w:r>
      <w:r>
        <w:t xml:space="preserve"> 개인용 클라우드 스토리지, 용량 부족 순간의 1회성 넛지</w:t>
      </w:r>
    </w:p>
    <w:p>
      <w:pPr>
        <w:pStyle w:val="ListParagraph"/>
        <w:numPr>
          <w:ilvl w:val="0"/>
          <w:numId w:val="2"/>
        </w:numPr>
        <w:spacing w:after="60"/>
      </w:pPr>
      <w:r>
        <w:rPr>
          <w:b/>
          <w:bCs/>
        </w:rPr>
        <w:t xml:space="preserve">예상 한계:</w:t>
      </w:r>
    </w:p>
    <w:p>
      <w:pPr>
        <w:pStyle w:val="ListParagraph"/>
        <w:numPr>
          <w:ilvl w:val="1"/>
          <w:numId w:val="2"/>
        </w:numPr>
        <w:spacing w:after="60"/>
      </w:pPr>
      <w:r>
        <w:t xml:space="preserve">실제 서비스 데이터가 아닌 실험 상황이라 실제 행동과 다를 수 있음 (특히 시나리오 방식일 경우)</w:t>
      </w:r>
    </w:p>
    <w:p>
      <w:pPr>
        <w:pStyle w:val="ListParagraph"/>
        <w:numPr>
          <w:ilvl w:val="1"/>
          <w:numId w:val="2"/>
        </w:numPr>
        <w:spacing w:after="60"/>
      </w:pPr>
      <w:r>
        <w:t xml:space="preserve">1회 노출 효과만 측정, 반복 알림의 장기 효과는 보지 못함</w:t>
      </w:r>
    </w:p>
    <w:p>
      <w:pPr>
        <w:pStyle w:val="ListParagraph"/>
        <w:numPr>
          <w:ilvl w:val="1"/>
          <w:numId w:val="2"/>
        </w:numPr>
        <w:spacing w:after="60"/>
      </w:pPr>
      <w:r>
        <w:t xml:space="preserve">실제 결제가 일어나지 않으므로 결제는 "의향"으로만 측정</w:t>
      </w:r>
    </w:p>
    <w:p>
      <w:pPr>
        <w:pStyle w:val="ListParagraph"/>
        <w:numPr>
          <w:ilvl w:val="1"/>
          <w:numId w:val="2"/>
        </w:numPr>
        <w:spacing w:after="60"/>
      </w:pPr>
      <w:r>
        <w:t xml:space="preserve">국내 이용자 표본이라 일반화에 한계</w:t>
      </w:r>
    </w:p>
    <w:p>
      <w:pPr>
        <w:pStyle w:val="Heading1"/>
      </w:pPr>
      <w:r>
        <w:t xml:space="preserve">11. 연구 시작 전 할 일</w:t>
      </w:r>
    </w:p>
    <w:p>
      <w:pPr>
        <w:spacing w:after="60"/>
        <w:ind w:left="360" w:hanging="300"/>
      </w:pPr>
      <w:r>
        <w:t xml:space="preserve">☐ </w:t>
      </w:r>
      <w:r>
        <w:t xml:space="preserve">설득 관련 문헌 조사 후 이론적 틀에 반영 (2026-09-28 면담 피드백)</w:t>
      </w:r>
    </w:p>
    <w:p>
      <w:pPr>
        <w:spacing w:after="60"/>
        <w:ind w:left="360" w:hanging="300"/>
      </w:pPr>
      <w:r>
        <w:t xml:space="preserve">☐ </w:t>
      </w:r>
      <w:r>
        <w:t xml:space="preserve">이 개요를 들고 지도교수님 면담 (특히 5절 가설과 제목)</w:t>
      </w:r>
    </w:p>
    <w:p>
      <w:pPr>
        <w:spacing w:after="60"/>
        <w:ind w:left="360" w:hanging="300"/>
      </w:pPr>
      <w:r>
        <w:t xml:space="preserve">☐ </w:t>
      </w:r>
      <w:r>
        <w:t xml:space="preserve">실험 조건과 자극물 형태 확정 (research-design.md)</w:t>
      </w:r>
    </w:p>
    <w:p>
      <w:pPr>
        <w:spacing w:after="60"/>
        <w:ind w:left="360" w:hanging="300"/>
      </w:pPr>
      <w:r>
        <w:t xml:space="preserve">☐ </w:t>
      </w:r>
      <w:r>
        <w:t xml:space="preserve">★ 표시된 핵심 논문 읽고 </w:t>
      </w:r>
      <w:r>
        <w:rPr>
          <w:color w:val="555555"/>
        </w:rPr>
        <w:t xml:space="preserve">notes/reading/</w:t>
      </w:r>
      <w:r>
        <w:t xml:space="preserve">에 읽기 노트 작성</w:t>
      </w:r>
    </w:p>
    <w:p>
      <w:pPr>
        <w:spacing w:after="60"/>
        <w:ind w:left="360" w:hanging="300"/>
      </w:pPr>
      <w:r>
        <w:t xml:space="preserve">☐ </w:t>
      </w:r>
      <w:r>
        <w:t xml:space="preserve">국내 선행연구 검색 (RISS, KCI, DBpia)</w:t>
      </w:r>
    </w:p>
    <w:p>
      <w:pPr>
        <w:spacing w:after="60"/>
        <w:ind w:left="360" w:hanging="300"/>
      </w:pPr>
      <w:r>
        <w:t xml:space="preserve">☐ </w:t>
      </w:r>
      <w:r>
        <w:t xml:space="preserve">학교 IRB 절차·일정 확인</w:t>
      </w:r>
    </w:p>
    <w:p>
      <w:pPr>
        <w:spacing w:after="60"/>
        <w:ind w:left="360" w:hanging="300"/>
      </w:pPr>
      <w:r>
        <w:t xml:space="preserve">☐ </w:t>
      </w:r>
      <w:r>
        <w:rPr>
          <w:color w:val="555555"/>
        </w:rPr>
        <w:t xml:space="preserve">admin/timeline.md</w:t>
      </w:r>
      <w:r>
        <w:t xml:space="preserve">에 학교 심사 일정 채우기</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pBdr>
        <w:bottom w:val="single" w:color="1F4E79" w:sz="8" w:space="6"/>
      </w:pBdr>
      <w:spacing w:after="240"/>
    </w:pPr>
    <w:rPr>
      <w:rFonts w:ascii="Malgun Gothic" w:cs="Malgun Gothic" w:eastAsia="Malgun Gothic" w:hAnsi="Malgun Gothic"/>
      <w:b/>
      <w:bCs/>
      <w:color w:val="1F4E79"/>
      <w:sz w:val="36"/>
      <w:szCs w:val="36"/>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1F4E79"/>
      <w:sz w:val="28"/>
      <w:szCs w:val="28"/>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논문 개요 (연구 계획 초안)</dc:title>
  <dc:creator>ClaudeNoi</dc:creator>
  <cp:lastModifiedBy>Un-named</cp:lastModifiedBy>
  <cp:revision>1</cp:revision>
  <dcterms:created xsi:type="dcterms:W3CDTF">2026-09-28T09:53:56.093Z</dcterms:created>
  <dcterms:modified xsi:type="dcterms:W3CDTF">2026-09-28T09:53:56.096Z</dcterms:modified>
</cp:coreProperties>
</file>

<file path=docProps/custom.xml><?xml version="1.0" encoding="utf-8"?>
<Properties xmlns="http://schemas.openxmlformats.org/officeDocument/2006/custom-properties" xmlns:vt="http://schemas.openxmlformats.org/officeDocument/2006/docPropsVTypes"/>
</file>