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TerraValue API Migration</w:t>
      </w:r>
    </w:p>
    <w:p>
      <w:pPr>
        <w:spacing w:after="400"/>
        <w:jc w:val="center"/>
      </w:pPr>
      <w:r>
        <w:rPr>
          <w:rFonts w:ascii="Arial" w:cs="Arial" w:eastAsia="Arial" w:hAnsi="Arial"/>
          <w:color w:val="2E86C1"/>
          <w:sz w:val="32"/>
          <w:szCs w:val="32"/>
        </w:rPr>
        <w:t xml:space="preserve">Session Summary &amp; Deployment Handoff</w:t>
      </w:r>
    </w:p>
    <w:p>
      <w:pPr>
        <w:pBdr>
          <w:bottom w:val="single" w:color="2E86C1" w:sz="6" w:space="1"/>
        </w:pBdr>
        <w:spacing w:after="600"/>
        <w:jc w:val="center"/>
      </w:pPr>
    </w:p>
    <w:p>
      <w:pPr>
        <w:spacing w:after="100"/>
        <w:jc w:val="center"/>
      </w:pPr>
      <w:r>
        <w:rPr>
          <w:rFonts w:ascii="Arial" w:cs="Arial" w:eastAsia="Arial" w:hAnsi="Arial"/>
          <w:color w:val="7F8C8D"/>
          <w:sz w:val="28"/>
          <w:szCs w:val="28"/>
        </w:rPr>
        <w:t xml:space="preserve">P&amp;X Partners</w:t>
      </w:r>
    </w:p>
    <w:p>
      <w:pPr>
        <w:spacing w:after="100"/>
        <w:jc w:val="center"/>
      </w:pPr>
      <w:r>
        <w:rPr>
          <w:rFonts w:ascii="Arial" w:cs="Arial" w:eastAsia="Arial" w:hAnsi="Arial"/>
          <w:color w:val="7F8C8D"/>
          <w:sz w:val="24"/>
          <w:szCs w:val="24"/>
        </w:rPr>
        <w:t xml:space="preserve">May 4, 2026</w:t>
      </w:r>
    </w:p>
    <w:p>
      <w:pPr>
        <w:spacing w:after="400"/>
        <w:jc w:val="center"/>
      </w:pPr>
      <w:r>
        <w:rPr>
          <w:rFonts w:ascii="Arial" w:cs="Arial" w:eastAsia="Arial" w:hAnsi="Arial"/>
          <w:color w:val="7F8C8D"/>
          <w:sz w:val="20"/>
          <w:szCs w:val="20"/>
        </w:rPr>
        <w:t xml:space="preserve">Prepared by: Claude (Anthropic Cowork)</w:t>
      </w:r>
    </w:p>
    <w:p>
      <w:pPr>
        <w:spacing w:before="600"/>
        <w:jc w:val="center"/>
      </w:pPr>
      <w:r>
        <w:rPr>
          <w:rFonts w:ascii="Arial" w:cs="Arial" w:eastAsia="Arial" w:hAnsi="Arial"/>
          <w:b/>
          <w:bCs/>
          <w:color w:val="27AE60"/>
          <w:sz w:val="26"/>
          <w:szCs w:val="26"/>
        </w:rPr>
        <w:t xml:space="preserve">Status: Ready for Vercel Deployment</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The TerraValue calculation engine has been successfully migrated from a 2,345-line monolithic browser-side JavaScript file into a decomposed serverless API architecture. The migration preserves byte-identical calculation output (validated by 26 automated tests) while adding proper separation of concerns, API key authentication, data quality flags, and a clear deployment path to Vercel.</w:t>
      </w:r>
    </w:p>
    <w:p>
      <w:pPr>
        <w:spacing w:after="200"/>
      </w:pPr>
      <w:r>
        <w:t xml:space="preserve">All 21 of 23 planned tasks are complete. The remaining two tasks are operational: deploying to Vercel (requires CLI credentials) and removing the local engine fallback after a stability period. Both pages (index.html and terravalue.html) have been migrated to API-first with graceful local engine fallback.</w:t>
      </w:r>
    </w:p>
    <w:p>
      <w:pPr>
        <w:pStyle w:val="Heading1"/>
      </w:pPr>
      <w:r>
        <w:t xml:space="preserve">What Was Built</w:t>
      </w:r>
    </w:p>
    <w:p>
      <w:pPr>
        <w:spacing w:after="120"/>
      </w:pPr>
      <w:r>
        <w:t xml:space="preserve">The migration decomposed the monolithic engine into five bounded contexts served through a unified API router, with externalized configuration and comprehensive test coverage.</w:t>
      </w:r>
    </w:p>
    <w:p>
      <w:pPr>
        <w:pStyle w:val="Heading2"/>
      </w:pPr>
      <w:r>
        <w:t xml:space="preserve">Architecture Overview</w:t>
      </w:r>
    </w:p>
    <w:p>
      <w:pPr>
        <w:spacing w:after="200"/>
      </w:pPr>
      <w:r>
        <w:rPr>
          <w:b/>
          <w:bCs/>
        </w:rPr>
        <w:t xml:space="preserve">Before: </w:t>
      </w:r>
      <w:r>
        <w:t xml:space="preserve">Single 2,345-line </w:t>
      </w:r>
      <w:r>
        <w:rPr>
          <w:i/>
          <w:iCs/>
        </w:rPr>
        <w:t xml:space="preserve">terravalue-engine.js</w:t>
      </w:r>
      <w:r>
        <w:t xml:space="preserve"> loaded via &lt;script&gt; tag in the browser. All constants inline, no API layer, no auth, no data quality flags.</w:t>
      </w:r>
    </w:p>
    <w:p>
      <w:pPr>
        <w:spacing w:after="200"/>
      </w:pPr>
      <w:r>
        <w:rPr>
          <w:b/>
          <w:bCs/>
        </w:rPr>
        <w:t xml:space="preserve">After: </w:t>
      </w:r>
      <w:r>
        <w:t xml:space="preserve">Server-side engine (</w:t>
      </w:r>
      <w:r>
        <w:rPr>
          <w:i/>
          <w:iCs/>
        </w:rPr>
        <w:t xml:space="preserve">lib/terravalue-engine.js</w:t>
      </w:r>
      <w:r>
        <w:t xml:space="preserve">) imports from externalized config (</w:t>
      </w:r>
      <w:r>
        <w:rPr>
          <w:i/>
          <w:iCs/>
        </w:rPr>
        <w:t xml:space="preserve">config/*.json</w:t>
      </w:r>
      <w:r>
        <w:t xml:space="preserve">), exposed via unified serverless router (</w:t>
      </w:r>
      <w:r>
        <w:rPr>
          <w:i/>
          <w:iCs/>
        </w:rPr>
        <w:t xml:space="preserve">api/index.js</w:t>
      </w:r>
      <w:r>
        <w:t xml:space="preserve">) with CORS, input validation, API key auth, and dataQuality flags on every response. Frontend calls the API first and falls back to the local engine if unreachable.</w:t>
      </w:r>
    </w:p>
    <w:p>
      <w:pPr>
        <w:pStyle w:val="Heading2"/>
      </w:pPr>
      <w: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2760"/>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Handler</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Fields</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/api/ecosystem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EcosystemServices.calculate()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lotSizeSqFt, canopyPct, assessedValue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/api/certifications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CertificationPathway.assess()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canopyPct, hasGreenInfrastructure, ...</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/api/valuation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PropertyValuation.getCompositeValue()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assessedValue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/api/appreciation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LandAppreciation.project()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currentScore, projectedScore, timelineYears, propertyValue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/api/land-valuation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LandValuation.fullValuation()</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lotSizeSqFt, assessedValue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/api/analyze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Full orchestrator</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lotSizeSqFt, canopyPct, assessedValue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GET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/api/health</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Health check</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(none)</w:t>
            </w:r>
          </w:p>
        </w:tc>
      </w:tr>
    </w:tbl>
    <w:p>
      <w:pPr>
        <w:spacing w:after="120"/>
      </w:pPr>
      <w:r>
        <w:rPr>
          <w:sz w:val="20"/>
          <w:szCs w:val="20"/>
        </w:rPr>
        <w:t xml:space="preserve">All POST endpoints return a </w:t>
      </w:r>
      <w:r>
        <w:rPr>
          <w:i/>
          <w:iCs/>
          <w:sz w:val="20"/>
          <w:szCs w:val="20"/>
        </w:rPr>
        <w:t xml:space="preserve">dataQuality</w:t>
      </w:r>
      <w:r>
        <w:rPr>
          <w:sz w:val="20"/>
          <w:szCs w:val="20"/>
        </w:rPr>
        <w:t xml:space="preserve"> object with confidence level, syntheticDataUsed flag, and descriptive notes.</w:t>
      </w:r>
    </w:p>
    <w:p>
      <w:r>
        <w:br w:type="page"/>
      </w:r>
    </w:p>
    <w:p>
      <w:pPr>
        <w:pStyle w:val="Heading1"/>
      </w:pPr>
      <w:r>
        <w:t xml:space="preserve">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3560"/>
      </w:tblGrid>
      <w:tr>
        <w:tc>
          <w:tcPr>
            <w:tcW w:type="dxa" w:w="3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api/index.js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Unified serverless router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 routes, auth, CORS, validation</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lib/terravalue-engine.js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Server-side engine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Config-imported, parity-validated</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config/index.js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Config loader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Exports all constants + ECO_SERVICE_TOTAL_PER_ACRE</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config/*.json (5 files)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Externalized constants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Ecosystem rates, certs, land-val, etc.</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tests/golden-parity.test.js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Parity + auth tests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26 tests, node:test runner</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tests/e2e-validate.js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Post-deploy validation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23 checks against live URL</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website/index.html</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Homepage (migrated)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API-first, local engine fallback</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website/terravalue.html</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TerraValue page (migrated)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Debounced sliders, async land-val</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website/terravalue-engine.js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Original monolith</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2,345 lines; retained for fallback</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vercel.json</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Vercel config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Rewrites, CORS, security headers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package.json</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Project manifest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Zero deps, Node &gt;=18</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CUTOVER-CHECKLIST.md</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Script tag removal guide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Post-stability cutover steps</w:t>
            </w:r>
          </w:p>
        </w:tc>
      </w:tr>
    </w:tbl>
    <w:p>
      <w:r>
        <w:br w:type="page"/>
      </w:r>
    </w:p>
    <w:p>
      <w:pPr>
        <w:pStyle w:val="Heading1"/>
      </w:pPr>
      <w:r>
        <w:t xml:space="preserve">Task Completion Status</w:t>
      </w:r>
    </w:p>
    <w:p>
      <w:pPr>
        <w:spacing w:after="160"/>
      </w:pPr>
      <w:r>
        <w:t xml:space="preserve">21 of 23 tasks complete. Task #22 (deploy) is ready to execute. Task #23 (script tag removal) is intentionally deferred until the API proves stable in production for at least one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386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1-6</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Audit, architecture &amp; design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Phases 1-2 planning</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Scaffold project structure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package.json, directories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Extract constants to config/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 JSON files, config loader</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9-13</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Service API handlers (5 endpoints)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ecosystem, certs, valuation, appreciation, land-val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14</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 /api/analyze orchestrator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Calls all 5 services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Unified API router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api/index.js, CORS, validation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16</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vercel.json rewrites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routes + security headers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17</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Golden parity tests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26 tests, 7 suites, 0 failures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18</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index.html API migration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async runDemo(), fallback</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19</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terravalue.html API migration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Debounced projector, async land-val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dataQuality flags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All responses, UI warnings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key authentication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X-API-Key, same-origin bypass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22</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Deploy to Vercel</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E86C1"/>
                <w:sz w:val="20"/>
                <w:szCs w:val="20"/>
              </w:rPr>
              <w:t xml:space="preserve">READY</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E2E script created, needs vercel CLI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23</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Remove engine script tags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7F8C8D"/>
                <w:sz w:val="20"/>
                <w:szCs w:val="20"/>
              </w:rPr>
              <w:t xml:space="preserve">DEFERRED</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After 1+ week stable</w:t>
            </w:r>
          </w:p>
        </w:tc>
      </w:tr>
    </w:tbl>
    <w:p>
      <w:r>
        <w:br w:type="page"/>
      </w:r>
    </w:p>
    <w:p>
      <w:pPr>
        <w:pStyle w:val="Heading1"/>
      </w:pPr>
      <w:r>
        <w:t xml:space="preserve">Authentication Design</w:t>
      </w:r>
    </w:p>
    <w:p>
      <w:pPr>
        <w:spacing w:after="200"/>
      </w:pPr>
      <w:r>
        <w:t xml:space="preserve">API key authentication is implemented with the following behavior:</w:t>
      </w:r>
    </w:p>
    <w:p>
      <w:pPr>
        <w:spacing w:after="120"/>
      </w:pPr>
      <w:r>
        <w:rPr>
          <w:b/>
          <w:bCs/>
        </w:rPr>
        <w:t xml:space="preserve">When TERRAVALUE_API_KEY is not set: </w:t>
      </w:r>
      <w:r>
        <w:t xml:space="preserve">All requests are allowed (open access). This is the default for development and initial deployment.</w:t>
      </w:r>
    </w:p>
    <w:p>
      <w:pPr>
        <w:spacing w:after="120"/>
      </w:pPr>
      <w:r>
        <w:rPr>
          <w:b/>
          <w:bCs/>
        </w:rPr>
        <w:t xml:space="preserve">When TERRAVALUE_API_KEY is set: </w:t>
      </w:r>
      <w:r>
        <w:t xml:space="preserve">Same-origin requests (frontend pages on the same host) pass through without a key. External requests must include an X-API-Key header. The /api/health endpoint is always public. Key comparison uses constant-time logic to prevent timing attacks.</w:t>
      </w:r>
    </w:p>
    <w:p>
      <w:pPr>
        <w:spacing w:after="200"/>
      </w:pPr>
      <w:r>
        <w:rPr>
          <w:b/>
          <w:bCs/>
        </w:rPr>
        <w:t xml:space="preserve">Localhost bypass: </w:t>
      </w:r>
      <w:r>
        <w:t xml:space="preserve">Requests from localhost or 127.0.0.1 always pass authentication, regardless of key configuration. This enables local development without credential setup.</w:t>
      </w:r>
    </w:p>
    <w:p>
      <w:pPr>
        <w:pStyle w:val="Heading1"/>
      </w:pPr>
      <w:r>
        <w:t xml:space="preserve">Deployment Instructions</w:t>
      </w:r>
    </w:p>
    <w:p>
      <w:pPr>
        <w:spacing w:after="120"/>
      </w:pPr>
      <w:r>
        <w:t xml:space="preserve">To deploy the API to production:</w:t>
      </w:r>
    </w:p>
    <w:p>
      <w:pPr>
        <w:pStyle w:val="ListParagraph"/>
        <w:numPr>
          <w:ilvl w:val="0"/>
          <w:numId w:val="2"/>
        </w:numPr>
        <w:spacing w:after="80"/>
      </w:pPr>
      <w:r>
        <w:t xml:space="preserve">Install the Vercel CLI: </w:t>
      </w:r>
      <w:r>
        <w:rPr>
          <w:b/>
          <w:bCs/>
        </w:rPr>
        <w:t xml:space="preserve">npm i -g vercel</w:t>
      </w:r>
    </w:p>
    <w:p>
      <w:pPr>
        <w:pStyle w:val="ListParagraph"/>
        <w:numPr>
          <w:ilvl w:val="0"/>
          <w:numId w:val="2"/>
        </w:numPr>
        <w:spacing w:after="80"/>
      </w:pPr>
      <w:r>
        <w:t xml:space="preserve">From the P&amp;X/ directory, run: </w:t>
      </w:r>
      <w:r>
        <w:rPr>
          <w:b/>
          <w:bCs/>
        </w:rPr>
        <w:t xml:space="preserve">vercel</w:t>
      </w:r>
      <w:r>
        <w:t xml:space="preserve"> (preview) or </w:t>
      </w:r>
      <w:r>
        <w:rPr>
          <w:b/>
          <w:bCs/>
        </w:rPr>
        <w:t xml:space="preserve">vercel --prod</w:t>
      </w:r>
      <w:r>
        <w:t xml:space="preserve"> (production)</w:t>
      </w:r>
    </w:p>
    <w:p>
      <w:pPr>
        <w:pStyle w:val="ListParagraph"/>
        <w:numPr>
          <w:ilvl w:val="0"/>
          <w:numId w:val="2"/>
        </w:numPr>
        <w:spacing w:after="80"/>
      </w:pPr>
      <w:r>
        <w:t xml:space="preserve">Validate with: </w:t>
      </w:r>
      <w:r>
        <w:rPr>
          <w:b/>
          <w:bCs/>
        </w:rPr>
        <w:t xml:space="preserve">node tests/e2e-validate.js https://your-project.vercel.app</w:t>
      </w:r>
    </w:p>
    <w:p>
      <w:pPr>
        <w:pStyle w:val="ListParagraph"/>
        <w:numPr>
          <w:ilvl w:val="0"/>
          <w:numId w:val="2"/>
        </w:numPr>
        <w:spacing w:after="200"/>
      </w:pPr>
      <w:r>
        <w:t xml:space="preserve">All 23 E2E checks should pass before considering the deployment stable.</w:t>
      </w:r>
    </w:p>
    <w:p>
      <w:pPr>
        <w:pStyle w:val="Heading2"/>
      </w:pPr>
      <w:r>
        <w:t xml:space="preserve">Environment Variables</w:t>
      </w:r>
    </w:p>
    <w:p>
      <w:pPr>
        <w:spacing w:after="120"/>
      </w:pPr>
      <w:r>
        <w:t xml:space="preserve">Optional environment variable to configure on Vercel:</w:t>
      </w:r>
    </w:p>
    <w:p>
      <w:pPr>
        <w:pStyle w:val="ListParagraph"/>
        <w:numPr>
          <w:ilvl w:val="0"/>
          <w:numId w:val="3"/>
        </w:numPr>
        <w:spacing w:after="200"/>
      </w:pPr>
      <w:r>
        <w:rPr>
          <w:b/>
          <w:bCs/>
        </w:rPr>
        <w:t xml:space="preserve">TERRAVALUE_API_KEY</w:t>
      </w:r>
      <w:r>
        <w:t xml:space="preserve"> — Set via </w:t>
      </w:r>
      <w:r>
        <w:rPr>
          <w:b/>
          <w:bCs/>
        </w:rPr>
        <w:t xml:space="preserve">vercel env add TERRAVALUE_API_KEY</w:t>
      </w:r>
      <w:r>
        <w:t xml:space="preserve">. When set, external API consumers must include this key in the X-API-Key header. The frontend pages on the same domain are exempt.</w:t>
      </w:r>
    </w:p>
    <w:p>
      <w:pPr>
        <w:pStyle w:val="Heading1"/>
      </w:pPr>
      <w:r>
        <w:t xml:space="preserve">Post-Stability Cutover</w:t>
      </w:r>
    </w:p>
    <w:p>
      <w:pPr>
        <w:spacing w:after="200"/>
      </w:pPr>
      <w:r>
        <w:t xml:space="preserve">After the API has been running stably for at least one week with zero 500 errors in Vercel function logs, the local engine fallback can be removed. This involves removing the &lt;script src="terravalue-engine.js"&gt; tags from both HTML pages and replacing the catch-block fallback code with user-facing error messages. Full instructions are in </w:t>
      </w:r>
      <w:r>
        <w:rPr>
          <w:b/>
          <w:bCs/>
        </w:rPr>
        <w:t xml:space="preserve">CUTOVER-CHECKLIST.md</w:t>
      </w:r>
      <w:r>
        <w:t xml:space="preserve"> in the project root.</w:t>
      </w:r>
    </w:p>
    <w:p>
      <w:pPr>
        <w:spacing w:after="200"/>
      </w:pPr>
      <w:r>
        <w:rPr>
          <w:b/>
          <w:bCs/>
        </w:rPr>
        <w:t xml:space="preserve">Rollback: </w:t>
      </w:r>
      <w:r>
        <w:t xml:space="preserve">If issues arise after cutover, re-add the script tags. The fallback code can be restored from git history. The original 2,345-line engine file (</w:t>
      </w:r>
      <w:r>
        <w:rPr>
          <w:i/>
          <w:iCs/>
        </w:rPr>
        <w:t xml:space="preserve">website/terravalue-engine.js</w:t>
      </w:r>
      <w:r>
        <w:t xml:space="preserve">) is retained in the project and can be referenced at any time.</w:t>
      </w:r>
    </w:p>
    <w:p>
      <w:pPr>
        <w:pStyle w:val="Heading1"/>
      </w:pPr>
      <w:r>
        <w:t xml:space="preserve">Open Items &amp; Known Issues</w:t>
      </w:r>
    </w:p>
    <w:p>
      <w:pPr>
        <w:spacing w:after="120"/>
      </w:pPr>
      <w:r>
        <w:rPr>
          <w:b/>
          <w:bCs/>
        </w:rPr>
        <w:t xml:space="preserve">Audit Finding #5: </w:t>
      </w:r>
      <w:r>
        <w:t xml:space="preserve">The projector tool hardcodes a 15,000 sqft lot size. Consider adding a lot size input field or a disclaimer noting this assumption.</w:t>
      </w:r>
    </w:p>
    <w:p>
      <w:pPr>
        <w:spacing w:after="120"/>
      </w:pPr>
      <w:r>
        <w:rPr>
          <w:b/>
          <w:bCs/>
        </w:rPr>
        <w:t xml:space="preserve">Stormwater rate citation: </w:t>
      </w:r>
      <w:r>
        <w:t xml:space="preserve">The $520/canopy-acre stormwater rate lacks a specific publication citation. It is labeled as a benefit transfer estimate. Consider adding a more specific source reference.</w:t>
      </w:r>
    </w:p>
    <w:p>
      <w:pPr>
        <w:spacing w:after="120"/>
      </w:pPr>
      <w:r>
        <w:rPr>
          <w:b/>
          <w:bCs/>
        </w:rPr>
        <w:t xml:space="preserve">Ecosystem capitalization rate: </w:t>
      </w:r>
      <w:r>
        <w:t xml:space="preserve">The 5% capitalization rate used in ecosystem value calculations is noted as professional judgment. Consider adding a methodology note or sourcing this from comparable green infrastructure studies.</w:t>
      </w:r>
    </w:p>
    <w:p>
      <w:pPr>
        <w:spacing w:after="200"/>
      </w:pPr>
      <w:r>
        <w:rPr>
          <w:b/>
          <w:bCs/>
        </w:rPr>
        <w:t xml:space="preserve">Future Python migration: </w:t>
      </w:r>
      <w:r>
        <w:t xml:space="preserve">The original architecture evaluation considered Python/FastAPI as an alternative. The current Node.js API was chosen for speed of delivery. The API contract (routes, request/response schemas) is designed to allow a future backend swap without frontend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7F8C8D"/>
        <w:sz w:val="18"/>
        <w:szCs w:val="18"/>
      </w:rPr>
      <w:t xml:space="preserve">TerraValue API Migration</w:t>
    </w:r>
    <w:r>
      <w:rPr>
        <w:rFonts w:ascii="Arial" w:cs="Arial" w:eastAsia="Arial" w:hAnsi="Arial"/>
        <w:color w:val="7F8C8D"/>
        <w:sz w:val="18"/>
        <w:szCs w:val="18"/>
      </w:rPr>
      <w:t xml:space="preserve">	P&amp;X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2026-05-05T02:00:12.259Z</dcterms:created>
  <dcterms:modified xsi:type="dcterms:W3CDTF">2026-05-05T02:00:12.259Z</dcterms:modified>
</cp:coreProperties>
</file>

<file path=docProps/custom.xml><?xml version="1.0" encoding="utf-8"?>
<Properties xmlns="http://schemas.openxmlformats.org/officeDocument/2006/custom-properties" xmlns:vt="http://schemas.openxmlformats.org/officeDocument/2006/docPropsVTypes"/>
</file>