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8A71" w14:textId="79CAACAF" w:rsidR="00783DA5" w:rsidRDefault="00783DA5" w:rsidP="00EA0E11">
      <w:r>
        <w:t xml:space="preserve">Subheadings last updated 1/26/2026 </w:t>
      </w:r>
    </w:p>
    <w:p w14:paraId="4A58C9B0" w14:textId="3A012705" w:rsidR="00783DA5" w:rsidRDefault="00783DA5" w:rsidP="00EA0E11">
      <w:r>
        <w:t>Yellow = included in main text; used as anchor for where to paste</w:t>
      </w:r>
    </w:p>
    <w:p w14:paraId="09F701D4" w14:textId="545622C0" w:rsidR="00783DA5" w:rsidRPr="00783DA5" w:rsidRDefault="00783DA5" w:rsidP="00EA0E11">
      <w:r>
        <w:rPr>
          <w:b/>
          <w:bCs/>
        </w:rPr>
        <w:t>Main Text</w:t>
      </w:r>
    </w:p>
    <w:p w14:paraId="03426340" w14:textId="77777777" w:rsidR="00783DA5" w:rsidRDefault="00783DA5" w:rsidP="00EA0E11"/>
    <w:p w14:paraId="579ABAE6" w14:textId="4633BFFB" w:rsidR="00EA0E11" w:rsidRDefault="00EA0E11" w:rsidP="00EA0E11">
      <w:r>
        <w:t>1.1 The role of métiers in Ecosystem Based Fishery Management</w:t>
      </w:r>
    </w:p>
    <w:p w14:paraId="766635E0" w14:textId="7FD48C6B" w:rsidR="00672528" w:rsidRDefault="00783DA5" w:rsidP="00EA0E11">
      <w:r w:rsidRPr="00783DA5">
        <w:rPr>
          <w:highlight w:val="yellow"/>
        </w:rPr>
        <w:t>The goal of EBFM is to incorporate environmental variables, bycatch and technical interactions, and trophic interactions into how fish stocks are managed (Hornborg et al., 2019). EBFM strategies can range from incorporating climate and ecosystem data into models to providing qualitative and quantitative advice on management strategies (Levin et al., 2009).</w:t>
      </w:r>
      <w:r>
        <w:t xml:space="preserve"> </w:t>
      </w:r>
      <w:r w:rsidR="00EA0E11">
        <w:t>Although the purpose of including ecosystem-level dynamics into management strategies is to improve the reliability and accuracy of policy estimates, few studies provide proof of this connection. Furthermore, although the Common Fisheries Policy in the European Union (EU, 2013) and the Magnuson-Stevens Act in the United States (U.S. Department of Commerce, 2007) acknowledge the importance of accounting for multispecies factors in management decisions, there are no requirements for stocks to be treated as interconnected when making management decisions. Social factors are starting to be incorporated into EBFM practices (Hornborg et al. 2019), and understanding the interplay between social factors and species targeting can help ensure future métier analysis and hence management strategies are best suited for the fisheries they govern.</w:t>
      </w:r>
    </w:p>
    <w:p w14:paraId="1F7E24AF" w14:textId="66EF928F" w:rsidR="00783DA5" w:rsidRPr="00783DA5" w:rsidRDefault="00783DA5" w:rsidP="00783DA5">
      <w:pPr>
        <w:spacing w:before="240" w:after="0" w:line="240" w:lineRule="auto"/>
        <w:jc w:val="both"/>
        <w:rPr>
          <w:rFonts w:ascii="Times New Roman" w:eastAsiaTheme="minorEastAsia" w:hAnsi="Times New Roman" w:cs="Times New Roman"/>
          <w:i/>
          <w:iCs/>
        </w:rPr>
      </w:pPr>
      <w:r>
        <w:rPr>
          <w:rFonts w:ascii="Times New Roman" w:eastAsiaTheme="minorEastAsia" w:hAnsi="Times New Roman" w:cs="Times New Roman"/>
          <w:i/>
          <w:iCs/>
        </w:rPr>
        <w:t>2.1.2 S</w:t>
      </w:r>
      <w:r w:rsidRPr="00EE7E54">
        <w:rPr>
          <w:rFonts w:ascii="Times New Roman" w:eastAsiaTheme="minorEastAsia" w:hAnsi="Times New Roman" w:cs="Times New Roman"/>
          <w:i/>
          <w:iCs/>
        </w:rPr>
        <w:t xml:space="preserve">ensitivity tests and validation of </w:t>
      </w:r>
      <w:commentRangeStart w:id="0"/>
      <w:r w:rsidRPr="00EE7E54">
        <w:rPr>
          <w:rFonts w:ascii="Times New Roman" w:eastAsiaTheme="minorEastAsia" w:hAnsi="Times New Roman" w:cs="Times New Roman"/>
          <w:i/>
          <w:iCs/>
        </w:rPr>
        <w:t>clusters</w:t>
      </w:r>
      <w:commentRangeEnd w:id="0"/>
      <w:r>
        <w:rPr>
          <w:rStyle w:val="CommentReference"/>
        </w:rPr>
        <w:commentReference w:id="0"/>
      </w:r>
    </w:p>
    <w:p w14:paraId="4DA02DBD" w14:textId="61D886CF" w:rsidR="00783DA5" w:rsidRPr="00783DA5" w:rsidRDefault="00783DA5" w:rsidP="00783DA5">
      <w:pPr>
        <w:spacing w:before="240" w:line="240" w:lineRule="auto"/>
        <w:jc w:val="both"/>
        <w:rPr>
          <w:rFonts w:ascii="Times New Roman" w:hAnsi="Times New Roman" w:cs="Times New Roman"/>
          <w:b/>
          <w:bCs/>
        </w:rPr>
      </w:pPr>
      <w:r w:rsidRPr="00783DA5">
        <w:rPr>
          <w:rFonts w:ascii="Times New Roman" w:hAnsi="Times New Roman" w:cs="Times New Roman"/>
          <w:b/>
          <w:bCs/>
          <w:highlight w:val="yellow"/>
        </w:rPr>
        <w:t xml:space="preserve">Ex-vessel revenue has been supported in the literature (e.g., Briton (2019); Burch et al., (2021); Pascoe et al., (2022), etc.) as a metric for clustering, but there is a chance that high-value species are </w:t>
      </w:r>
      <w:proofErr w:type="gramStart"/>
      <w:r w:rsidRPr="00783DA5">
        <w:rPr>
          <w:rFonts w:ascii="Times New Roman" w:hAnsi="Times New Roman" w:cs="Times New Roman"/>
          <w:b/>
          <w:bCs/>
          <w:highlight w:val="yellow"/>
        </w:rPr>
        <w:t>overweighted</w:t>
      </w:r>
      <w:proofErr w:type="gramEnd"/>
      <w:r w:rsidRPr="00783DA5">
        <w:rPr>
          <w:rFonts w:ascii="Times New Roman" w:hAnsi="Times New Roman" w:cs="Times New Roman"/>
          <w:b/>
          <w:bCs/>
          <w:highlight w:val="yellow"/>
        </w:rPr>
        <w:t xml:space="preserve"> in the clustering output. To combat this, the same analysis was run with landed weight with a variable k and k set at the selected number of clusters (17) to compare clustering to the original analysis.</w:t>
      </w:r>
      <w:r w:rsidRPr="00783DA5">
        <w:rPr>
          <w:rFonts w:ascii="Times New Roman" w:hAnsi="Times New Roman" w:cs="Times New Roman"/>
          <w:b/>
          <w:bCs/>
        </w:rPr>
        <w:t xml:space="preserve">  </w:t>
      </w:r>
      <w:commentRangeStart w:id="1"/>
      <w:r w:rsidRPr="00783DA5">
        <w:rPr>
          <w:rFonts w:ascii="Times New Roman" w:hAnsi="Times New Roman" w:cs="Times New Roman"/>
          <w:b/>
          <w:bCs/>
        </w:rPr>
        <w:t xml:space="preserve">Across both </w:t>
      </w:r>
      <w:proofErr w:type="gramStart"/>
      <w:r w:rsidRPr="00783DA5">
        <w:rPr>
          <w:rFonts w:ascii="Times New Roman" w:hAnsi="Times New Roman" w:cs="Times New Roman"/>
          <w:b/>
          <w:bCs/>
        </w:rPr>
        <w:t>analysis</w:t>
      </w:r>
      <w:proofErr w:type="gramEnd"/>
      <w:r w:rsidRPr="00783DA5">
        <w:rPr>
          <w:rFonts w:ascii="Times New Roman" w:hAnsi="Times New Roman" w:cs="Times New Roman"/>
          <w:b/>
          <w:bCs/>
        </w:rPr>
        <w:t xml:space="preserve">, most shots with high sablefish landings were moved and became less aggregated/spread over more clusters, as sablefish have the highest price in the fishery. This disaggregation of the sablefish landings give support to using ex-vessel revenue as the clustering metric over landed weight. </w:t>
      </w:r>
      <w:commentRangeEnd w:id="1"/>
      <w:r>
        <w:rPr>
          <w:rStyle w:val="CommentReference"/>
        </w:rPr>
        <w:commentReference w:id="1"/>
      </w:r>
    </w:p>
    <w:p w14:paraId="15079D7B" w14:textId="77777777" w:rsidR="00783DA5" w:rsidRPr="00783DA5" w:rsidRDefault="00783DA5" w:rsidP="00783DA5">
      <w:pPr>
        <w:spacing w:before="240" w:line="240" w:lineRule="auto"/>
        <w:jc w:val="both"/>
        <w:rPr>
          <w:rFonts w:ascii="Times New Roman" w:hAnsi="Times New Roman" w:cs="Times New Roman"/>
          <w:b/>
          <w:bCs/>
        </w:rPr>
      </w:pPr>
      <w:r w:rsidRPr="0084202C">
        <w:rPr>
          <w:rFonts w:ascii="Times New Roman" w:hAnsi="Times New Roman" w:cs="Times New Roman"/>
          <w:b/>
          <w:bCs/>
          <w:highlight w:val="yellow"/>
        </w:rPr>
        <w:t>Relying solely on a silhouette analysis for clustering ignores stability and is biased towards spherical clusters (</w:t>
      </w:r>
      <w:proofErr w:type="spellStart"/>
      <w:r w:rsidRPr="0084202C">
        <w:rPr>
          <w:rFonts w:ascii="Times New Roman" w:hAnsi="Times New Roman" w:cs="Times New Roman"/>
          <w:b/>
          <w:bCs/>
          <w:highlight w:val="yellow"/>
        </w:rPr>
        <w:t>Rousseeuw</w:t>
      </w:r>
      <w:proofErr w:type="spellEnd"/>
      <w:r w:rsidRPr="0084202C">
        <w:rPr>
          <w:rFonts w:ascii="Times New Roman" w:hAnsi="Times New Roman" w:cs="Times New Roman"/>
          <w:b/>
          <w:bCs/>
          <w:highlight w:val="yellow"/>
        </w:rPr>
        <w:t xml:space="preserve"> 1987). To compute stability diagnostics, a </w:t>
      </w:r>
      <w:proofErr w:type="spellStart"/>
      <w:r w:rsidRPr="0084202C">
        <w:rPr>
          <w:rFonts w:ascii="Times New Roman" w:hAnsi="Times New Roman" w:cs="Times New Roman"/>
          <w:b/>
          <w:bCs/>
          <w:highlight w:val="yellow"/>
        </w:rPr>
        <w:t>boostraoped</w:t>
      </w:r>
      <w:proofErr w:type="spellEnd"/>
      <w:r w:rsidRPr="0084202C">
        <w:rPr>
          <w:rFonts w:ascii="Times New Roman" w:hAnsi="Times New Roman" w:cs="Times New Roman"/>
          <w:b/>
          <w:bCs/>
          <w:highlight w:val="yellow"/>
        </w:rPr>
        <w:t xml:space="preserve"> Jaccard similarity analysis was conducted using the </w:t>
      </w:r>
      <w:proofErr w:type="spellStart"/>
      <w:r w:rsidRPr="0084202C">
        <w:rPr>
          <w:rFonts w:ascii="Times New Roman" w:hAnsi="Times New Roman" w:cs="Times New Roman"/>
          <w:b/>
          <w:bCs/>
          <w:highlight w:val="yellow"/>
        </w:rPr>
        <w:t>clusterboot</w:t>
      </w:r>
      <w:proofErr w:type="spellEnd"/>
      <w:r w:rsidRPr="0084202C">
        <w:rPr>
          <w:rFonts w:ascii="Times New Roman" w:hAnsi="Times New Roman" w:cs="Times New Roman"/>
          <w:b/>
          <w:bCs/>
          <w:highlight w:val="yellow"/>
        </w:rPr>
        <w:t xml:space="preserve"> function in the </w:t>
      </w:r>
      <w:proofErr w:type="spellStart"/>
      <w:r w:rsidRPr="0084202C">
        <w:rPr>
          <w:rFonts w:ascii="Times New Roman" w:hAnsi="Times New Roman" w:cs="Times New Roman"/>
          <w:b/>
          <w:bCs/>
          <w:i/>
          <w:iCs/>
          <w:highlight w:val="yellow"/>
        </w:rPr>
        <w:t>fpc</w:t>
      </w:r>
      <w:proofErr w:type="spellEnd"/>
      <w:r w:rsidRPr="0084202C">
        <w:rPr>
          <w:rFonts w:ascii="Times New Roman" w:hAnsi="Times New Roman" w:cs="Times New Roman"/>
          <w:b/>
          <w:bCs/>
          <w:highlight w:val="yellow"/>
        </w:rPr>
        <w:t xml:space="preserve"> package in R (Hennig 2024). Per Hennig (2024), the recommended 100 bootstraps were run and recover (the Jaccard coefficient required to keep a cluster) was set at 0.75, and the threshold to dissolve a cluster was set at 0.5</w:t>
      </w:r>
      <w:commentRangeStart w:id="2"/>
      <w:r w:rsidRPr="0084202C">
        <w:rPr>
          <w:rFonts w:ascii="Times New Roman" w:hAnsi="Times New Roman" w:cs="Times New Roman"/>
          <w:b/>
          <w:bCs/>
          <w:highlight w:val="yellow"/>
        </w:rPr>
        <w:t>.</w:t>
      </w:r>
      <w:r w:rsidRPr="00783DA5">
        <w:rPr>
          <w:rFonts w:ascii="Times New Roman" w:hAnsi="Times New Roman" w:cs="Times New Roman"/>
          <w:b/>
          <w:bCs/>
        </w:rPr>
        <w:t xml:space="preserve"> No cluster was dissolved in more than half of the iterations, and only three were dissolved in a third or more runs. Five clusters </w:t>
      </w:r>
      <w:proofErr w:type="gramStart"/>
      <w:r w:rsidRPr="00783DA5">
        <w:rPr>
          <w:rFonts w:ascii="Times New Roman" w:hAnsi="Times New Roman" w:cs="Times New Roman"/>
          <w:b/>
          <w:bCs/>
        </w:rPr>
        <w:t>were recovered</w:t>
      </w:r>
      <w:proofErr w:type="gramEnd"/>
      <w:r w:rsidRPr="00783DA5">
        <w:rPr>
          <w:rFonts w:ascii="Times New Roman" w:hAnsi="Times New Roman" w:cs="Times New Roman"/>
          <w:b/>
          <w:bCs/>
        </w:rPr>
        <w:t xml:space="preserve"> at least 90% of the time with 10/17 clusters recovered at least 75% of the time. Smaller clusters had the largest variation in Jaccard similarities J, which makes sense given the higher variability </w:t>
      </w:r>
      <w:r w:rsidRPr="00783DA5">
        <w:rPr>
          <w:rFonts w:ascii="Times New Roman" w:hAnsi="Times New Roman" w:cs="Times New Roman"/>
          <w:b/>
          <w:bCs/>
        </w:rPr>
        <w:lastRenderedPageBreak/>
        <w:t xml:space="preserve">with fewer data points, and were often the ones dissolved. No clear stability thresholds are given in the literature, but Henning (2024) sets interpretation guidelines for J, which have been provided in Table 1. The number of clusters from the </w:t>
      </w:r>
      <w:proofErr w:type="spellStart"/>
      <w:r w:rsidRPr="00783DA5">
        <w:rPr>
          <w:rFonts w:ascii="Times New Roman" w:hAnsi="Times New Roman" w:cs="Times New Roman"/>
          <w:b/>
          <w:bCs/>
        </w:rPr>
        <w:t>clusterboot</w:t>
      </w:r>
      <w:proofErr w:type="spellEnd"/>
      <w:r w:rsidRPr="00783DA5">
        <w:rPr>
          <w:rFonts w:ascii="Times New Roman" w:hAnsi="Times New Roman" w:cs="Times New Roman"/>
          <w:b/>
          <w:bCs/>
        </w:rPr>
        <w:t xml:space="preserve"> run in each category is also reported in Table A.4.</w:t>
      </w:r>
      <w:commentRangeEnd w:id="2"/>
      <w:r>
        <w:rPr>
          <w:rStyle w:val="CommentReference"/>
        </w:rPr>
        <w:commentReference w:id="2"/>
      </w:r>
    </w:p>
    <w:p w14:paraId="603127C9" w14:textId="77777777" w:rsidR="00783DA5" w:rsidRPr="00783DA5" w:rsidRDefault="00783DA5" w:rsidP="00783DA5">
      <w:pPr>
        <w:spacing w:before="240" w:line="240" w:lineRule="auto"/>
        <w:jc w:val="both"/>
        <w:rPr>
          <w:rFonts w:ascii="Times New Roman" w:hAnsi="Times New Roman" w:cs="Times New Roman"/>
          <w:b/>
          <w:bCs/>
        </w:rPr>
      </w:pPr>
      <w:r w:rsidRPr="00783DA5">
        <w:rPr>
          <w:rFonts w:ascii="Times New Roman" w:hAnsi="Times New Roman" w:cs="Times New Roman"/>
          <w:b/>
          <w:bCs/>
        </w:rPr>
        <w:t xml:space="preserve">Within the original </w:t>
      </w:r>
      <w:proofErr w:type="spellStart"/>
      <w:r w:rsidRPr="00783DA5">
        <w:rPr>
          <w:rFonts w:ascii="Times New Roman" w:hAnsi="Times New Roman" w:cs="Times New Roman"/>
          <w:b/>
          <w:bCs/>
        </w:rPr>
        <w:t>PacFIN</w:t>
      </w:r>
      <w:proofErr w:type="spellEnd"/>
      <w:r w:rsidRPr="00783DA5">
        <w:rPr>
          <w:rFonts w:ascii="Times New Roman" w:hAnsi="Times New Roman" w:cs="Times New Roman"/>
          <w:b/>
          <w:bCs/>
        </w:rPr>
        <w:t xml:space="preserve"> database, an API-adjusted price is included alongside each record. This was used to calculate ex-vessel </w:t>
      </w:r>
      <w:proofErr w:type="gramStart"/>
      <w:r w:rsidRPr="00783DA5">
        <w:rPr>
          <w:rFonts w:ascii="Times New Roman" w:hAnsi="Times New Roman" w:cs="Times New Roman"/>
          <w:b/>
          <w:bCs/>
        </w:rPr>
        <w:t>revenue</w:t>
      </w:r>
      <w:proofErr w:type="gramEnd"/>
      <w:r w:rsidRPr="00783DA5">
        <w:rPr>
          <w:rFonts w:ascii="Times New Roman" w:hAnsi="Times New Roman" w:cs="Times New Roman"/>
          <w:b/>
          <w:bCs/>
        </w:rPr>
        <w:t xml:space="preserve"> and the CLARA analysis was rerun with k preset at 17, resulting in 98.9% of all shots assigned to the same cluster. </w:t>
      </w:r>
      <w:commentRangeStart w:id="3"/>
      <w:r w:rsidRPr="00783DA5">
        <w:rPr>
          <w:rFonts w:ascii="Times New Roman" w:hAnsi="Times New Roman" w:cs="Times New Roman"/>
          <w:b/>
          <w:bCs/>
        </w:rPr>
        <w:t xml:space="preserve">Most shots that were moved involved low-value species and gears. </w:t>
      </w:r>
      <w:commentRangeEnd w:id="3"/>
      <w:r>
        <w:rPr>
          <w:rStyle w:val="CommentReference"/>
        </w:rPr>
        <w:commentReference w:id="3"/>
      </w:r>
    </w:p>
    <w:p w14:paraId="58D03B63" w14:textId="77777777" w:rsidR="00783DA5" w:rsidRDefault="00783DA5" w:rsidP="00783DA5">
      <w:pPr>
        <w:spacing w:before="240" w:line="240" w:lineRule="auto"/>
        <w:jc w:val="both"/>
        <w:rPr>
          <w:rFonts w:ascii="Times New Roman" w:hAnsi="Times New Roman" w:cs="Times New Roman"/>
          <w:b/>
          <w:bCs/>
        </w:rPr>
      </w:pPr>
      <w:commentRangeStart w:id="4"/>
      <w:r w:rsidRPr="00783DA5">
        <w:rPr>
          <w:rFonts w:ascii="Times New Roman" w:hAnsi="Times New Roman" w:cs="Times New Roman"/>
          <w:b/>
          <w:bCs/>
        </w:rPr>
        <w:t>To ensure the aggregation of records into shots did not erase finer-scale tactics, between-cluster and within-cluster variances were calculated. Within-cluster variance comprised 18.5% of the total variance, while between-cluster variance represented 81.5% of the total variance. The contribution of within-cluster variance to total variance is sufficiently low for the purposes of this work.</w:t>
      </w:r>
      <w:commentRangeEnd w:id="4"/>
      <w:r>
        <w:rPr>
          <w:rStyle w:val="CommentReference"/>
        </w:rPr>
        <w:commentReference w:id="4"/>
      </w:r>
    </w:p>
    <w:p w14:paraId="43DD1B26" w14:textId="77777777" w:rsidR="00783DA5" w:rsidRDefault="00783DA5" w:rsidP="00783DA5">
      <w:pPr>
        <w:spacing w:before="240" w:line="240" w:lineRule="auto"/>
        <w:jc w:val="both"/>
        <w:rPr>
          <w:rFonts w:ascii="Times New Roman" w:hAnsi="Times New Roman" w:cs="Times New Roman"/>
          <w:b/>
          <w:bCs/>
        </w:rPr>
      </w:pPr>
    </w:p>
    <w:p w14:paraId="5E0A06B9" w14:textId="77777777" w:rsidR="00783DA5" w:rsidRDefault="00783DA5" w:rsidP="00783DA5">
      <w:pPr>
        <w:spacing w:before="240" w:line="240" w:lineRule="auto"/>
        <w:jc w:val="both"/>
        <w:rPr>
          <w:rFonts w:ascii="Times New Roman" w:hAnsi="Times New Roman" w:cs="Times New Roman"/>
          <w:b/>
          <w:bCs/>
        </w:rPr>
      </w:pPr>
    </w:p>
    <w:p w14:paraId="12829AB8" w14:textId="5A3F8CA7" w:rsidR="00783DA5" w:rsidRDefault="00783DA5" w:rsidP="00783DA5">
      <w:pPr>
        <w:pStyle w:val="ListParagraph"/>
        <w:spacing w:line="240" w:lineRule="auto"/>
        <w:ind w:left="360"/>
        <w:jc w:val="both"/>
        <w:rPr>
          <w:rFonts w:ascii="Times New Roman" w:hAnsi="Times New Roman" w:cs="Times New Roman"/>
        </w:rPr>
      </w:pPr>
      <w:r>
        <w:rPr>
          <w:rFonts w:ascii="Times New Roman" w:hAnsi="Times New Roman" w:cs="Times New Roman"/>
        </w:rPr>
        <w:t xml:space="preserve">3. Target thresholds for the final métier assignments should be selected based on the management objectives the target system. In fisheries with distinct targeting preferences (i.e., landings are generally single-species or vessels generally use a single gear), these thresholds should be higher than in systems where landings often include multiple target species (e.g., the US West Coast groundfish fishery). The knowledge of </w:t>
      </w:r>
      <w:proofErr w:type="gramStart"/>
      <w:r>
        <w:rPr>
          <w:rFonts w:ascii="Times New Roman" w:hAnsi="Times New Roman" w:cs="Times New Roman"/>
        </w:rPr>
        <w:t>species life</w:t>
      </w:r>
      <w:proofErr w:type="gramEnd"/>
      <w:r>
        <w:rPr>
          <w:rFonts w:ascii="Times New Roman" w:hAnsi="Times New Roman" w:cs="Times New Roman"/>
        </w:rPr>
        <w:t xml:space="preserve"> history and </w:t>
      </w:r>
      <w:proofErr w:type="gramStart"/>
      <w:r>
        <w:rPr>
          <w:rFonts w:ascii="Times New Roman" w:hAnsi="Times New Roman" w:cs="Times New Roman"/>
        </w:rPr>
        <w:t>fishery history</w:t>
      </w:r>
      <w:proofErr w:type="gramEnd"/>
      <w:r>
        <w:rPr>
          <w:rFonts w:ascii="Times New Roman" w:hAnsi="Times New Roman" w:cs="Times New Roman"/>
        </w:rPr>
        <w:t xml:space="preserve"> should also guide the selection of these thresholds. These thresholds should be ‘soft targets’ and are rough guidelines that should not be used as the main driver of métier assignments. These thresholds should be set based on the goals of fishery management. These targets should be set for each clustering variable kept after Step 1 is completed.</w:t>
      </w:r>
    </w:p>
    <w:p w14:paraId="7CD99AA4" w14:textId="77777777" w:rsidR="00783DA5" w:rsidRDefault="00783DA5" w:rsidP="00783DA5">
      <w:pPr>
        <w:pStyle w:val="ListParagraph"/>
        <w:spacing w:line="240" w:lineRule="auto"/>
        <w:ind w:left="360"/>
        <w:jc w:val="both"/>
        <w:rPr>
          <w:rFonts w:ascii="Times New Roman" w:hAnsi="Times New Roman" w:cs="Times New Roman"/>
        </w:rPr>
      </w:pPr>
    </w:p>
    <w:p w14:paraId="1D633019" w14:textId="77777777" w:rsidR="00783DA5" w:rsidRDefault="00783DA5" w:rsidP="00783DA5">
      <w:pPr>
        <w:pStyle w:val="ListParagraph"/>
        <w:spacing w:line="240" w:lineRule="auto"/>
        <w:ind w:left="360"/>
        <w:jc w:val="both"/>
        <w:rPr>
          <w:rFonts w:ascii="Times New Roman" w:hAnsi="Times New Roman" w:cs="Times New Roman"/>
        </w:rPr>
      </w:pPr>
    </w:p>
    <w:p w14:paraId="39BEE4F7" w14:textId="77777777" w:rsidR="00342E4F" w:rsidRPr="00494BFE" w:rsidRDefault="00342E4F" w:rsidP="00342E4F">
      <w:pPr>
        <w:spacing w:before="240" w:after="0" w:line="240" w:lineRule="auto"/>
        <w:jc w:val="both"/>
        <w:rPr>
          <w:rFonts w:ascii="Times New Roman" w:hAnsi="Times New Roman" w:cs="Times New Roman"/>
          <w:i/>
          <w:iCs/>
        </w:rPr>
      </w:pPr>
      <w:r>
        <w:rPr>
          <w:rFonts w:ascii="Times New Roman" w:hAnsi="Times New Roman" w:cs="Times New Roman"/>
          <w:i/>
          <w:iCs/>
        </w:rPr>
        <w:t xml:space="preserve">3.2.1 </w:t>
      </w:r>
      <w:r w:rsidRPr="00494BFE">
        <w:rPr>
          <w:rFonts w:ascii="Times New Roman" w:hAnsi="Times New Roman" w:cs="Times New Roman"/>
          <w:i/>
          <w:iCs/>
        </w:rPr>
        <w:t>Description of the selected métiers</w:t>
      </w:r>
    </w:p>
    <w:p w14:paraId="006661F5" w14:textId="7023D335" w:rsidR="00783DA5" w:rsidRDefault="00342E4F" w:rsidP="00342E4F">
      <w:pPr>
        <w:spacing w:after="0" w:line="240" w:lineRule="auto"/>
        <w:jc w:val="both"/>
        <w:rPr>
          <w:rFonts w:ascii="Times New Roman" w:hAnsi="Times New Roman" w:cs="Times New Roman"/>
        </w:rPr>
      </w:pPr>
      <w:r w:rsidRPr="0061569C">
        <w:rPr>
          <w:rFonts w:ascii="Times New Roman" w:hAnsi="Times New Roman" w:cs="Times New Roman"/>
        </w:rPr>
        <w:t xml:space="preserve">Canary rockfish, widow rockfish and yellowtail rockfish are common targets of midwater trawlers and are bycatch for many Pacific </w:t>
      </w:r>
      <w:proofErr w:type="gramStart"/>
      <w:r>
        <w:rPr>
          <w:rFonts w:ascii="Times New Roman" w:hAnsi="Times New Roman" w:cs="Times New Roman"/>
        </w:rPr>
        <w:t>whiting</w:t>
      </w:r>
      <w:proofErr w:type="gramEnd"/>
      <w:r w:rsidRPr="0061569C">
        <w:rPr>
          <w:rFonts w:ascii="Times New Roman" w:hAnsi="Times New Roman" w:cs="Times New Roman"/>
        </w:rPr>
        <w:t xml:space="preserve"> fisheries (Langseth et al., 2023; Oken et al., 2025). Spiny dogfish tend to occupy the midwater for their first 20 years of life before preferring demersal habitat later in life (Beamish et al., 1982). Historically, spiny dogfish were caught more frequently in bottom trawls but often discarded, while much of the midwater trawl landings were kept. However, bottom trawl landings have reduced significantly since 2009; currently, most of the catch from spiny dogfish is from midwater trawl gear (</w:t>
      </w:r>
      <w:proofErr w:type="spellStart"/>
      <w:r w:rsidRPr="0061569C">
        <w:rPr>
          <w:rFonts w:ascii="Times New Roman" w:hAnsi="Times New Roman" w:cs="Times New Roman"/>
        </w:rPr>
        <w:t>Gertseva</w:t>
      </w:r>
      <w:proofErr w:type="spellEnd"/>
      <w:r w:rsidRPr="0061569C">
        <w:rPr>
          <w:rFonts w:ascii="Times New Roman" w:hAnsi="Times New Roman" w:cs="Times New Roman"/>
        </w:rPr>
        <w:t xml:space="preserve"> et al., 2021). </w:t>
      </w:r>
      <w:r w:rsidRPr="00342E4F">
        <w:rPr>
          <w:rFonts w:ascii="Times New Roman" w:hAnsi="Times New Roman" w:cs="Times New Roman"/>
        </w:rPr>
        <w:t xml:space="preserve">Sablefish are generally targeted with longlines and fish pot (Johnson et al., 2023) (Table 3), which </w:t>
      </w:r>
      <w:proofErr w:type="gramStart"/>
      <w:r w:rsidRPr="00342E4F">
        <w:rPr>
          <w:rFonts w:ascii="Times New Roman" w:hAnsi="Times New Roman" w:cs="Times New Roman"/>
        </w:rPr>
        <w:t>match</w:t>
      </w:r>
      <w:proofErr w:type="gramEnd"/>
      <w:r w:rsidRPr="00342E4F">
        <w:rPr>
          <w:rFonts w:ascii="Times New Roman" w:hAnsi="Times New Roman" w:cs="Times New Roman"/>
        </w:rPr>
        <w:t xml:space="preserve"> the gear composition of this métier. Bycatch in fish pots targeting sablefish is generally low for the 30 other species considered in this study (Johnson et al., 2023)</w:t>
      </w:r>
      <w:r>
        <w:rPr>
          <w:rFonts w:ascii="Times New Roman" w:hAnsi="Times New Roman" w:cs="Times New Roman"/>
        </w:rPr>
        <w:t>.</w:t>
      </w:r>
    </w:p>
    <w:p w14:paraId="7F118EDE" w14:textId="77777777" w:rsidR="009E6E9E" w:rsidRDefault="009E6E9E" w:rsidP="00342E4F">
      <w:pPr>
        <w:spacing w:after="0" w:line="240" w:lineRule="auto"/>
        <w:jc w:val="both"/>
        <w:rPr>
          <w:rFonts w:ascii="Times New Roman" w:hAnsi="Times New Roman" w:cs="Times New Roman"/>
        </w:rPr>
      </w:pPr>
    </w:p>
    <w:p w14:paraId="1F4AD9DE" w14:textId="77777777" w:rsidR="009E6E9E" w:rsidRDefault="009E6E9E" w:rsidP="009E6E9E">
      <w:pPr>
        <w:spacing w:after="0" w:line="240" w:lineRule="auto"/>
        <w:ind w:firstLine="360"/>
        <w:jc w:val="both"/>
        <w:rPr>
          <w:rFonts w:ascii="Times New Roman" w:hAnsi="Times New Roman" w:cs="Times New Roman"/>
        </w:rPr>
      </w:pPr>
      <w:commentRangeStart w:id="5"/>
      <w:commentRangeStart w:id="6"/>
      <w:r>
        <w:rPr>
          <w:rFonts w:ascii="Times New Roman" w:hAnsi="Times New Roman" w:cs="Times New Roman"/>
        </w:rPr>
        <w:t xml:space="preserve">Stock assessments are costly, technical, and </w:t>
      </w:r>
      <w:proofErr w:type="gramStart"/>
      <w:r>
        <w:rPr>
          <w:rFonts w:ascii="Times New Roman" w:hAnsi="Times New Roman" w:cs="Times New Roman"/>
        </w:rPr>
        <w:t>time-intensive</w:t>
      </w:r>
      <w:proofErr w:type="gramEnd"/>
      <w:r>
        <w:rPr>
          <w:rFonts w:ascii="Times New Roman" w:hAnsi="Times New Roman" w:cs="Times New Roman"/>
        </w:rPr>
        <w:t xml:space="preserve">. The assessments for some species have not been updated in over a decade, while others are updated every cycle (Neubauer et al., 2018). In the most recent stock assessment cycle (2025-2026), assessments were conducted for seven groundfish species or species complexes, which highlights the limited capacity that exists </w:t>
      </w:r>
      <w:r>
        <w:rPr>
          <w:rFonts w:ascii="Times New Roman" w:hAnsi="Times New Roman" w:cs="Times New Roman"/>
        </w:rPr>
        <w:lastRenderedPageBreak/>
        <w:t>to update assessments for all species that are managed under the FMP (PFMC 2025a). The challenges of choosing which stocks to prioritize (outlined in Neubauer et al. (2018), Method (2015), etc.) could be greatly mitigated if the assessments accounted for the métier structure. Multispecies</w:t>
      </w:r>
      <w:commentRangeEnd w:id="5"/>
      <w:r>
        <w:rPr>
          <w:rStyle w:val="CommentReference"/>
        </w:rPr>
        <w:commentReference w:id="5"/>
      </w:r>
      <w:commentRangeEnd w:id="6"/>
      <w:r>
        <w:rPr>
          <w:rStyle w:val="CommentReference"/>
        </w:rPr>
        <w:commentReference w:id="6"/>
      </w:r>
      <w:r>
        <w:rPr>
          <w:rFonts w:ascii="Times New Roman" w:hAnsi="Times New Roman" w:cs="Times New Roman"/>
        </w:rPr>
        <w:t xml:space="preserve"> and stock complex assessments have already been conducted within the fishery (e.g., Cope et al., 2013; 2025, etc.), which would pave the way for métier-based stock assessments. This would minimize the burden of having to selectively choose which species to assess, as, under this management structure, only four stock assessments (one for each métier) would need to be conducted. With climate-related events that impact fisheries expected to increase in frequency (e.g., heat waves; Free et al., 2023), reviewing stock structure and potential changes to fish population dynamics maximizes gain and minimizes risk for the fishery and those that operate within it (Brewster et al., 2025). The métier approach also supports the progression of the </w:t>
      </w:r>
      <w:r w:rsidRPr="0061569C">
        <w:rPr>
          <w:rFonts w:ascii="Times New Roman" w:hAnsi="Times New Roman" w:cs="Times New Roman"/>
        </w:rPr>
        <w:t>US National Oceanographic and Atmospheric Administration</w:t>
      </w:r>
      <w:r>
        <w:rPr>
          <w:rFonts w:ascii="Times New Roman" w:hAnsi="Times New Roman" w:cs="Times New Roman"/>
        </w:rPr>
        <w:t xml:space="preserve">’s </w:t>
      </w:r>
      <w:r w:rsidRPr="0061569C">
        <w:rPr>
          <w:rFonts w:ascii="Times New Roman" w:hAnsi="Times New Roman" w:cs="Times New Roman"/>
        </w:rPr>
        <w:t>(NOAA)</w:t>
      </w:r>
      <w:r>
        <w:rPr>
          <w:rFonts w:ascii="Times New Roman" w:hAnsi="Times New Roman" w:cs="Times New Roman"/>
        </w:rPr>
        <w:t xml:space="preserve"> EBFM policy to support conservation of fisheries in US waters (Harvey et al., 2025)</w:t>
      </w:r>
      <w:r w:rsidRPr="0061569C">
        <w:rPr>
          <w:rFonts w:ascii="Times New Roman" w:hAnsi="Times New Roman" w:cs="Times New Roman"/>
        </w:rPr>
        <w:t>.</w:t>
      </w:r>
    </w:p>
    <w:p w14:paraId="7DA83E1E" w14:textId="77777777" w:rsidR="009E6E9E" w:rsidRDefault="009E6E9E" w:rsidP="009E6E9E">
      <w:pPr>
        <w:spacing w:after="0" w:line="240" w:lineRule="auto"/>
        <w:ind w:firstLine="360"/>
        <w:jc w:val="both"/>
        <w:rPr>
          <w:rFonts w:ascii="Times New Roman" w:hAnsi="Times New Roman" w:cs="Times New Roman"/>
        </w:rPr>
      </w:pPr>
    </w:p>
    <w:p w14:paraId="2AA8C23F" w14:textId="77777777" w:rsidR="009E6E9E" w:rsidRPr="00B7642B" w:rsidRDefault="009E6E9E" w:rsidP="009E6E9E">
      <w:pPr>
        <w:spacing w:after="0" w:line="240" w:lineRule="auto"/>
        <w:ind w:firstLine="360"/>
        <w:jc w:val="both"/>
        <w:rPr>
          <w:rFonts w:ascii="Times New Roman" w:hAnsi="Times New Roman" w:cs="Times New Roman"/>
        </w:rPr>
      </w:pPr>
    </w:p>
    <w:p w14:paraId="054E1366" w14:textId="72DE9946" w:rsidR="009E6E9E" w:rsidRPr="009E6E9E" w:rsidRDefault="009E6E9E" w:rsidP="00342E4F">
      <w:pPr>
        <w:spacing w:after="0" w:line="240" w:lineRule="auto"/>
        <w:jc w:val="both"/>
        <w:rPr>
          <w:rFonts w:ascii="Times New Roman" w:hAnsi="Times New Roman" w:cs="Times New Roman"/>
          <w:b/>
          <w:bCs/>
        </w:rPr>
      </w:pPr>
      <w:r w:rsidRPr="009E6E9E">
        <w:rPr>
          <w:rFonts w:ascii="Times New Roman" w:hAnsi="Times New Roman" w:cs="Times New Roman"/>
          <w:b/>
          <w:bCs/>
        </w:rPr>
        <w:t>4.3 Caveats and future work</w:t>
      </w:r>
    </w:p>
    <w:p w14:paraId="2718CDA9" w14:textId="77777777" w:rsidR="009E6E9E" w:rsidRPr="0061569C" w:rsidRDefault="009E6E9E" w:rsidP="0005737C">
      <w:pPr>
        <w:spacing w:after="0" w:line="240" w:lineRule="auto"/>
        <w:ind w:firstLine="360"/>
        <w:jc w:val="both"/>
        <w:rPr>
          <w:rFonts w:ascii="Times New Roman" w:hAnsi="Times New Roman" w:cs="Times New Roman"/>
        </w:rPr>
      </w:pPr>
      <w:r w:rsidRPr="0061569C">
        <w:rPr>
          <w:rFonts w:ascii="Times New Roman" w:eastAsiaTheme="minorEastAsia" w:hAnsi="Times New Roman" w:cs="Times New Roman"/>
          <w:bCs/>
        </w:rPr>
        <w:t xml:space="preserve">There is no universally defined way to conduct a métier analysis, and different approaches to conducting the analysis could lead to differing results. </w:t>
      </w:r>
      <w:r w:rsidRPr="0061569C">
        <w:rPr>
          <w:rFonts w:ascii="Times New Roman" w:eastAsiaTheme="minorEastAsia" w:hAnsi="Times New Roman" w:cs="Times New Roman"/>
        </w:rPr>
        <w:t>Future métier analysis should be adaptable to new methods within the field</w:t>
      </w:r>
      <w:r w:rsidRPr="0061569C">
        <w:rPr>
          <w:rFonts w:ascii="Times New Roman" w:eastAsiaTheme="minorEastAsia" w:hAnsi="Times New Roman" w:cs="Times New Roman"/>
          <w:bCs/>
        </w:rPr>
        <w:t xml:space="preserve"> as new methods (e.g., machine learning</w:t>
      </w:r>
      <w:r>
        <w:rPr>
          <w:rFonts w:ascii="Times New Roman" w:eastAsiaTheme="minorEastAsia" w:hAnsi="Times New Roman" w:cs="Times New Roman"/>
          <w:bCs/>
        </w:rPr>
        <w:t>, see</w:t>
      </w:r>
      <w:r w:rsidRPr="0061569C">
        <w:rPr>
          <w:rFonts w:ascii="Times New Roman" w:eastAsiaTheme="minorEastAsia" w:hAnsi="Times New Roman" w:cs="Times New Roman"/>
          <w:bCs/>
        </w:rPr>
        <w:t xml:space="preserve"> </w:t>
      </w:r>
      <w:proofErr w:type="spellStart"/>
      <w:r w:rsidRPr="0061569C">
        <w:rPr>
          <w:rFonts w:ascii="Times New Roman" w:eastAsiaTheme="minorEastAsia" w:hAnsi="Times New Roman" w:cs="Times New Roman"/>
        </w:rPr>
        <w:t>Sulanke</w:t>
      </w:r>
      <w:proofErr w:type="spellEnd"/>
      <w:r w:rsidRPr="0061569C">
        <w:rPr>
          <w:rFonts w:ascii="Times New Roman" w:eastAsiaTheme="minorEastAsia" w:hAnsi="Times New Roman" w:cs="Times New Roman"/>
        </w:rPr>
        <w:t xml:space="preserve"> et al., 2025; Kühn et al., 2025) continue to be developed for clustering fisheries data. </w:t>
      </w:r>
      <w:r>
        <w:rPr>
          <w:rFonts w:ascii="Times New Roman" w:eastAsiaTheme="minorEastAsia" w:hAnsi="Times New Roman" w:cs="Times New Roman"/>
        </w:rPr>
        <w:t>Finally, s</w:t>
      </w:r>
      <w:r w:rsidRPr="0061569C">
        <w:rPr>
          <w:rFonts w:ascii="Times New Roman" w:eastAsiaTheme="minorEastAsia" w:hAnsi="Times New Roman" w:cs="Times New Roman"/>
          <w:bCs/>
        </w:rPr>
        <w:t>ome authors (e.g., Ulrich et al., 2012) contend that métier analyses may not accurately capture targeting by fishers accurately. For example, imperfect data, shifting baselines and effort allocations, and disagreements between the approach of scientists and fishers can all lead to métiers not accurately reflecting fishing conditions. To combat this, we use the best practices outlined by Briton (2019)</w:t>
      </w:r>
      <w:r>
        <w:rPr>
          <w:rFonts w:ascii="Times New Roman" w:eastAsiaTheme="minorEastAsia" w:hAnsi="Times New Roman" w:cs="Times New Roman"/>
          <w:bCs/>
        </w:rPr>
        <w:t xml:space="preserve"> and others as well as a wide range of sensitivity analyses,</w:t>
      </w:r>
      <w:r w:rsidRPr="0061569C">
        <w:rPr>
          <w:rFonts w:ascii="Times New Roman" w:eastAsiaTheme="minorEastAsia" w:hAnsi="Times New Roman" w:cs="Times New Roman"/>
          <w:bCs/>
        </w:rPr>
        <w:t xml:space="preserve"> to cluster data and refine these clusters into </w:t>
      </w:r>
      <w:commentRangeStart w:id="7"/>
      <w:r w:rsidRPr="0061569C">
        <w:rPr>
          <w:rFonts w:ascii="Times New Roman" w:eastAsiaTheme="minorEastAsia" w:hAnsi="Times New Roman" w:cs="Times New Roman"/>
          <w:bCs/>
        </w:rPr>
        <w:t>métiers</w:t>
      </w:r>
      <w:commentRangeEnd w:id="7"/>
      <w:r>
        <w:rPr>
          <w:rStyle w:val="CommentReference"/>
        </w:rPr>
        <w:commentReference w:id="7"/>
      </w:r>
      <w:r w:rsidRPr="0061569C">
        <w:rPr>
          <w:rFonts w:ascii="Times New Roman" w:eastAsiaTheme="minorEastAsia" w:hAnsi="Times New Roman" w:cs="Times New Roman"/>
          <w:bCs/>
        </w:rPr>
        <w:t xml:space="preserve">. </w:t>
      </w:r>
    </w:p>
    <w:p w14:paraId="34C55CB7" w14:textId="77777777" w:rsidR="00783DA5" w:rsidRPr="0005737C" w:rsidRDefault="00783DA5" w:rsidP="00783DA5">
      <w:pPr>
        <w:spacing w:before="240" w:line="240" w:lineRule="auto"/>
        <w:jc w:val="both"/>
        <w:rPr>
          <w:rFonts w:ascii="Times New Roman" w:hAnsi="Times New Roman" w:cs="Times New Roman"/>
          <w:b/>
          <w:bCs/>
        </w:rPr>
      </w:pPr>
    </w:p>
    <w:p w14:paraId="78B1025A" w14:textId="77777777" w:rsidR="00783DA5" w:rsidRDefault="00783DA5" w:rsidP="00EA0E11"/>
    <w:p w14:paraId="033B041E" w14:textId="77777777" w:rsidR="00783DA5" w:rsidRDefault="00783DA5" w:rsidP="00EA0E11"/>
    <w:p w14:paraId="12DFFBC5" w14:textId="77777777" w:rsidR="00783DA5" w:rsidRDefault="00783DA5" w:rsidP="00EA0E11"/>
    <w:sectPr w:rsidR="00783D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 w:date="2026-01-24T17:07:00Z" w:initials="A">
    <w:p w14:paraId="38212AA9" w14:textId="77777777" w:rsidR="00783DA5" w:rsidRDefault="00783DA5" w:rsidP="00783DA5">
      <w:pPr>
        <w:pStyle w:val="CommentText"/>
      </w:pPr>
      <w:r>
        <w:rPr>
          <w:rStyle w:val="CommentReference"/>
        </w:rPr>
        <w:annotationRef/>
      </w:r>
      <w:r>
        <w:t>The order of the methods needs to match that of the results</w:t>
      </w:r>
    </w:p>
  </w:comment>
  <w:comment w:id="1" w:author="Will Patrone" w:date="2026-01-26T12:32:00Z" w:initials="WP">
    <w:p w14:paraId="4C44A6E7" w14:textId="77777777" w:rsidR="00783DA5" w:rsidRDefault="00783DA5" w:rsidP="00783DA5">
      <w:pPr>
        <w:pStyle w:val="CommentText"/>
      </w:pPr>
      <w:r>
        <w:rPr>
          <w:rStyle w:val="CommentReference"/>
        </w:rPr>
        <w:annotationRef/>
      </w:r>
      <w:r>
        <w:t>Results 4 this</w:t>
      </w:r>
    </w:p>
  </w:comment>
  <w:comment w:id="2" w:author="Will Patrone" w:date="2026-01-26T12:33:00Z" w:initials="WP">
    <w:p w14:paraId="2238FFAF" w14:textId="77777777" w:rsidR="00783DA5" w:rsidRDefault="00783DA5" w:rsidP="00783DA5">
      <w:pPr>
        <w:pStyle w:val="CommentText"/>
      </w:pPr>
      <w:r>
        <w:rPr>
          <w:rStyle w:val="CommentReference"/>
        </w:rPr>
        <w:annotationRef/>
      </w:r>
      <w:r>
        <w:t>Results 4 this</w:t>
      </w:r>
    </w:p>
  </w:comment>
  <w:comment w:id="3" w:author="Will Patrone" w:date="2026-01-26T12:33:00Z" w:initials="WP">
    <w:p w14:paraId="051662EB" w14:textId="77777777" w:rsidR="00783DA5" w:rsidRDefault="00783DA5" w:rsidP="00783DA5">
      <w:pPr>
        <w:pStyle w:val="CommentText"/>
      </w:pPr>
      <w:r>
        <w:rPr>
          <w:rStyle w:val="CommentReference"/>
        </w:rPr>
        <w:annotationRef/>
      </w:r>
      <w:r>
        <w:t>Small result blurb</w:t>
      </w:r>
    </w:p>
  </w:comment>
  <w:comment w:id="4" w:author="Will Patrone" w:date="2026-01-26T12:33:00Z" w:initials="WP">
    <w:p w14:paraId="1256D066" w14:textId="77777777" w:rsidR="00783DA5" w:rsidRDefault="00783DA5" w:rsidP="00783DA5">
      <w:pPr>
        <w:pStyle w:val="CommentText"/>
      </w:pPr>
      <w:r>
        <w:rPr>
          <w:rStyle w:val="CommentReference"/>
        </w:rPr>
        <w:annotationRef/>
      </w:r>
      <w:r>
        <w:t>Not in mehtods or results- add?</w:t>
      </w:r>
    </w:p>
  </w:comment>
  <w:comment w:id="5" w:author="Andre" w:date="2026-01-25T05:33:00Z" w:initials="A">
    <w:p w14:paraId="1594DAC4" w14:textId="77777777" w:rsidR="009E6E9E" w:rsidRDefault="009E6E9E" w:rsidP="009E6E9E">
      <w:pPr>
        <w:pStyle w:val="CommentText"/>
      </w:pPr>
      <w:r>
        <w:rPr>
          <w:rStyle w:val="CommentReference"/>
        </w:rPr>
        <w:annotationRef/>
      </w:r>
      <w:r>
        <w:t>Save some text here as you don’t say HOW this process will be improve</w:t>
      </w:r>
    </w:p>
  </w:comment>
  <w:comment w:id="6" w:author="Will Patrone" w:date="2026-01-26T14:07:00Z" w:initials="WP">
    <w:p w14:paraId="08A20198" w14:textId="77777777" w:rsidR="009E6E9E" w:rsidRDefault="009E6E9E" w:rsidP="009E6E9E">
      <w:pPr>
        <w:pStyle w:val="CommentText"/>
      </w:pPr>
      <w:r>
        <w:rPr>
          <w:rStyle w:val="CommentReference"/>
        </w:rPr>
        <w:annotationRef/>
      </w:r>
      <w:r>
        <w:t>Andre- “This was super speculative”</w:t>
      </w:r>
    </w:p>
  </w:comment>
  <w:comment w:id="7" w:author="Will Patrone" w:date="2026-01-26T14:16:00Z" w:initials="WP">
    <w:p w14:paraId="47BF3C0C" w14:textId="77777777" w:rsidR="009E6E9E" w:rsidRDefault="009E6E9E" w:rsidP="009E6E9E">
      <w:pPr>
        <w:pStyle w:val="CommentText"/>
      </w:pPr>
      <w:r>
        <w:rPr>
          <w:rStyle w:val="CommentReference"/>
        </w:rPr>
        <w:annotationRef/>
      </w:r>
      <w:r>
        <w:t>Right before conclusions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12AA9" w15:done="0"/>
  <w15:commentEx w15:paraId="4C44A6E7" w15:done="0"/>
  <w15:commentEx w15:paraId="2238FFAF" w15:done="0"/>
  <w15:commentEx w15:paraId="051662EB" w15:done="0"/>
  <w15:commentEx w15:paraId="1256D066" w15:done="0"/>
  <w15:commentEx w15:paraId="1594DAC4" w15:done="0"/>
  <w15:commentEx w15:paraId="08A20198" w15:paraIdParent="1594DAC4" w15:done="0"/>
  <w15:commentEx w15:paraId="47BF3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32080" w16cex:dateUtc="2026-01-25T01:07:00Z"/>
  <w16cex:commentExtensible w16cex:durableId="6C9C3BEF" w16cex:dateUtc="2026-01-26T20:32:00Z"/>
  <w16cex:commentExtensible w16cex:durableId="78D0FB43" w16cex:dateUtc="2026-01-26T20:33:00Z"/>
  <w16cex:commentExtensible w16cex:durableId="75A18551" w16cex:dateUtc="2026-01-26T20:33:00Z"/>
  <w16cex:commentExtensible w16cex:durableId="191127C4" w16cex:dateUtc="2026-01-26T20:33:00Z"/>
  <w16cex:commentExtensible w16cex:durableId="6A23FF6A" w16cex:dateUtc="2026-01-25T13:33:00Z"/>
  <w16cex:commentExtensible w16cex:durableId="2F7CD337" w16cex:dateUtc="2026-01-26T22:07:00Z"/>
  <w16cex:commentExtensible w16cex:durableId="60A39A29" w16cex:dateUtc="2026-01-26T2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12AA9" w16cid:durableId="20732080"/>
  <w16cid:commentId w16cid:paraId="4C44A6E7" w16cid:durableId="6C9C3BEF"/>
  <w16cid:commentId w16cid:paraId="2238FFAF" w16cid:durableId="78D0FB43"/>
  <w16cid:commentId w16cid:paraId="051662EB" w16cid:durableId="75A18551"/>
  <w16cid:commentId w16cid:paraId="1256D066" w16cid:durableId="191127C4"/>
  <w16cid:commentId w16cid:paraId="1594DAC4" w16cid:durableId="6A23FF6A"/>
  <w16cid:commentId w16cid:paraId="08A20198" w16cid:durableId="2F7CD337"/>
  <w16cid:commentId w16cid:paraId="47BF3C0C" w16cid:durableId="60A39A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3E46"/>
    <w:multiLevelType w:val="multilevel"/>
    <w:tmpl w:val="0266838C"/>
    <w:lvl w:ilvl="0">
      <w:start w:val="1"/>
      <w:numFmt w:val="decimal"/>
      <w:lvlText w:val="%1."/>
      <w:lvlJc w:val="left"/>
      <w:pPr>
        <w:ind w:left="360" w:hanging="36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043939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rson w15:author="Will Patrone">
    <w15:presenceInfo w15:providerId="AD" w15:userId="S::will0926@uw.edu::d91f2d5d-000c-4559-88ee-6dfcda5fe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C3"/>
    <w:rsid w:val="0005737C"/>
    <w:rsid w:val="001852C3"/>
    <w:rsid w:val="001B31C8"/>
    <w:rsid w:val="002352E7"/>
    <w:rsid w:val="00342E4F"/>
    <w:rsid w:val="00500136"/>
    <w:rsid w:val="00533AC5"/>
    <w:rsid w:val="005473D1"/>
    <w:rsid w:val="00555E55"/>
    <w:rsid w:val="005E0EB6"/>
    <w:rsid w:val="00672528"/>
    <w:rsid w:val="00783DA5"/>
    <w:rsid w:val="0084202C"/>
    <w:rsid w:val="009E6E9E"/>
    <w:rsid w:val="00A63F10"/>
    <w:rsid w:val="00DB1564"/>
    <w:rsid w:val="00DD11F4"/>
    <w:rsid w:val="00EA0E11"/>
    <w:rsid w:val="00F24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F0FA"/>
  <w15:chartTrackingRefBased/>
  <w15:docId w15:val="{3B048F01-5C92-4508-B43F-3670CBE3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2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852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52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852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852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5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2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852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852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852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852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5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2C3"/>
    <w:rPr>
      <w:rFonts w:eastAsiaTheme="majorEastAsia" w:cstheme="majorBidi"/>
      <w:color w:val="272727" w:themeColor="text1" w:themeTint="D8"/>
    </w:rPr>
  </w:style>
  <w:style w:type="paragraph" w:styleId="Title">
    <w:name w:val="Title"/>
    <w:basedOn w:val="Normal"/>
    <w:next w:val="Normal"/>
    <w:link w:val="TitleChar"/>
    <w:uiPriority w:val="10"/>
    <w:qFormat/>
    <w:rsid w:val="00185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2C3"/>
    <w:pPr>
      <w:spacing w:before="160"/>
      <w:jc w:val="center"/>
    </w:pPr>
    <w:rPr>
      <w:i/>
      <w:iCs/>
      <w:color w:val="404040" w:themeColor="text1" w:themeTint="BF"/>
    </w:rPr>
  </w:style>
  <w:style w:type="character" w:customStyle="1" w:styleId="QuoteChar">
    <w:name w:val="Quote Char"/>
    <w:basedOn w:val="DefaultParagraphFont"/>
    <w:link w:val="Quote"/>
    <w:uiPriority w:val="29"/>
    <w:rsid w:val="001852C3"/>
    <w:rPr>
      <w:i/>
      <w:iCs/>
      <w:color w:val="404040" w:themeColor="text1" w:themeTint="BF"/>
    </w:rPr>
  </w:style>
  <w:style w:type="paragraph" w:styleId="ListParagraph">
    <w:name w:val="List Paragraph"/>
    <w:basedOn w:val="Normal"/>
    <w:uiPriority w:val="34"/>
    <w:qFormat/>
    <w:rsid w:val="001852C3"/>
    <w:pPr>
      <w:ind w:left="720"/>
      <w:contextualSpacing/>
    </w:pPr>
  </w:style>
  <w:style w:type="character" w:styleId="IntenseEmphasis">
    <w:name w:val="Intense Emphasis"/>
    <w:basedOn w:val="DefaultParagraphFont"/>
    <w:uiPriority w:val="21"/>
    <w:qFormat/>
    <w:rsid w:val="001852C3"/>
    <w:rPr>
      <w:i/>
      <w:iCs/>
      <w:color w:val="2E74B5" w:themeColor="accent1" w:themeShade="BF"/>
    </w:rPr>
  </w:style>
  <w:style w:type="paragraph" w:styleId="IntenseQuote">
    <w:name w:val="Intense Quote"/>
    <w:basedOn w:val="Normal"/>
    <w:next w:val="Normal"/>
    <w:link w:val="IntenseQuoteChar"/>
    <w:uiPriority w:val="30"/>
    <w:qFormat/>
    <w:rsid w:val="001852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52C3"/>
    <w:rPr>
      <w:i/>
      <w:iCs/>
      <w:color w:val="2E74B5" w:themeColor="accent1" w:themeShade="BF"/>
    </w:rPr>
  </w:style>
  <w:style w:type="character" w:styleId="IntenseReference">
    <w:name w:val="Intense Reference"/>
    <w:basedOn w:val="DefaultParagraphFont"/>
    <w:uiPriority w:val="32"/>
    <w:qFormat/>
    <w:rsid w:val="001852C3"/>
    <w:rPr>
      <w:b/>
      <w:bCs/>
      <w:smallCaps/>
      <w:color w:val="2E74B5" w:themeColor="accent1" w:themeShade="BF"/>
      <w:spacing w:val="5"/>
    </w:rPr>
  </w:style>
  <w:style w:type="character" w:styleId="CommentReference">
    <w:name w:val="annotation reference"/>
    <w:basedOn w:val="DefaultParagraphFont"/>
    <w:uiPriority w:val="99"/>
    <w:semiHidden/>
    <w:unhideWhenUsed/>
    <w:rsid w:val="00783DA5"/>
    <w:rPr>
      <w:sz w:val="16"/>
      <w:szCs w:val="16"/>
    </w:rPr>
  </w:style>
  <w:style w:type="paragraph" w:styleId="CommentText">
    <w:name w:val="annotation text"/>
    <w:basedOn w:val="Normal"/>
    <w:link w:val="CommentTextChar"/>
    <w:uiPriority w:val="99"/>
    <w:unhideWhenUsed/>
    <w:rsid w:val="00783DA5"/>
    <w:pPr>
      <w:spacing w:line="240" w:lineRule="auto"/>
    </w:pPr>
    <w:rPr>
      <w:sz w:val="20"/>
      <w:szCs w:val="20"/>
    </w:rPr>
  </w:style>
  <w:style w:type="character" w:customStyle="1" w:styleId="CommentTextChar">
    <w:name w:val="Comment Text Char"/>
    <w:basedOn w:val="DefaultParagraphFont"/>
    <w:link w:val="CommentText"/>
    <w:uiPriority w:val="99"/>
    <w:rsid w:val="00783DA5"/>
    <w:rPr>
      <w:sz w:val="20"/>
      <w:szCs w:val="20"/>
    </w:rPr>
  </w:style>
  <w:style w:type="paragraph" w:styleId="CommentSubject">
    <w:name w:val="annotation subject"/>
    <w:basedOn w:val="CommentText"/>
    <w:next w:val="CommentText"/>
    <w:link w:val="CommentSubjectChar"/>
    <w:uiPriority w:val="99"/>
    <w:semiHidden/>
    <w:unhideWhenUsed/>
    <w:rsid w:val="00783DA5"/>
    <w:rPr>
      <w:b/>
      <w:bCs/>
    </w:rPr>
  </w:style>
  <w:style w:type="character" w:customStyle="1" w:styleId="CommentSubjectChar">
    <w:name w:val="Comment Subject Char"/>
    <w:basedOn w:val="CommentTextChar"/>
    <w:link w:val="CommentSubject"/>
    <w:uiPriority w:val="99"/>
    <w:semiHidden/>
    <w:rsid w:val="00783D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86DD0C276C69418701519E7833AB57" ma:contentTypeVersion="8" ma:contentTypeDescription="Create a new document." ma:contentTypeScope="" ma:versionID="b3b72d34895658dfab1fade8ac6af787">
  <xsd:schema xmlns:xsd="http://www.w3.org/2001/XMLSchema" xmlns:xs="http://www.w3.org/2001/XMLSchema" xmlns:p="http://schemas.microsoft.com/office/2006/metadata/properties" xmlns:ns3="bf391cdb-be36-4e72-b7e1-14e1a1e2ce92" xmlns:ns4="bd34685f-1a06-48ab-a875-87b237ac4756" targetNamespace="http://schemas.microsoft.com/office/2006/metadata/properties" ma:root="true" ma:fieldsID="8fd3e2ab013d5b280621e8738613b3c7" ns3:_="" ns4:_="">
    <xsd:import namespace="bf391cdb-be36-4e72-b7e1-14e1a1e2ce92"/>
    <xsd:import namespace="bd34685f-1a06-48ab-a875-87b237ac475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91cdb-be36-4e72-b7e1-14e1a1e2c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34685f-1a06-48ab-a875-87b237ac47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f391cdb-be36-4e72-b7e1-14e1a1e2ce92" xsi:nil="true"/>
  </documentManagement>
</p:properties>
</file>

<file path=customXml/itemProps1.xml><?xml version="1.0" encoding="utf-8"?>
<ds:datastoreItem xmlns:ds="http://schemas.openxmlformats.org/officeDocument/2006/customXml" ds:itemID="{735116B1-8194-47FA-AE2C-EE2337B57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91cdb-be36-4e72-b7e1-14e1a1e2ce92"/>
    <ds:schemaRef ds:uri="bd34685f-1a06-48ab-a875-87b237ac4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9E8BC3-7BCC-4113-BB99-AC209BC5E2D6}">
  <ds:schemaRefs>
    <ds:schemaRef ds:uri="http://schemas.microsoft.com/sharepoint/v3/contenttype/forms"/>
  </ds:schemaRefs>
</ds:datastoreItem>
</file>

<file path=customXml/itemProps3.xml><?xml version="1.0" encoding="utf-8"?>
<ds:datastoreItem xmlns:ds="http://schemas.openxmlformats.org/officeDocument/2006/customXml" ds:itemID="{3E41E08A-74E7-44B9-8CFB-3B4D4F5FDA83}">
  <ds:schemaRefs>
    <ds:schemaRef ds:uri="http://schemas.microsoft.com/office/2006/metadata/properties"/>
    <ds:schemaRef ds:uri="http://schemas.microsoft.com/office/infopath/2007/PartnerControls"/>
    <ds:schemaRef ds:uri="bf391cdb-be36-4e72-b7e1-14e1a1e2ce92"/>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1266</Words>
  <Characters>7054</Characters>
  <Application>Microsoft Office Word</Application>
  <DocSecurity>0</DocSecurity>
  <Lines>135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5</cp:revision>
  <dcterms:created xsi:type="dcterms:W3CDTF">2026-01-26T20:24:00Z</dcterms:created>
  <dcterms:modified xsi:type="dcterms:W3CDTF">2026-02-04T01:10:00Z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0x0101004F86DD0C276C69418701519E7833AB57</vt:lpwstr>
  </property>
</Properties>
</file>