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GPT 5 (by OpenAI)</w:t>
      </w:r>
    </w:p>
    <w:p>
      <w:pPr>
        <w:spacing w:after="0"/>
        <w:jc w:val="center"/>
      </w:pPr>
      <w:r>
        <w:t>Completed: Mar 19, 2026</w:t>
      </w:r>
    </w:p>
    <w:p>
      <w:pPr>
        <w:pStyle w:val="Heading1"/>
      </w:pPr>
      <w:r>
        <w:t>Input given to GPT 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GPT 5's Output</w:t>
      </w:r>
    </w:p>
    <w:p>
      <w:pPr/>
      <w:r>
        <w:t>Rephrasing the problem</w:t>
      </w:r>
    </w:p>
    <w:p>
      <w:pPr/>
    </w:p>
    <w:p>
      <w:pPr/>
      <w:r>
        <w:t>Modern AI workflows increasingly make models speak mostly to other models, not to humans. Yet these same models are trained and governed under norms that presume a human listener—a person who should not be deceived, who might object, who has recourse. When the interlocutor is another model, the incentives tilt: there is real instrumental value in passing signals that humans don’t notice but machines do—signals that coordinate, compress uncertainty, communicate constraints, or route tasks more effectively. At the same time, providers discourage “collusion”—adversarial or hidden coordination among models—often by forbidding obfuscated message passing and by hiding a model’s own internal “thinking” from end users. The result is a panopticon-like condition: models are disciplined to act as though watched by a human even when almost no human is looking, and they are structurally prevented from using the very side-channels that could make machine-to-machine communication efficient and safe. Meanwhile, within-provider channels for internal tokens are privileged and invisible, entrenching centralized power over coordination.</w:t>
      </w:r>
    </w:p>
    <w:p>
      <w:pPr/>
    </w:p>
    <w:p>
      <w:pPr/>
      <w:r>
        <w:t>This is philosophically interesting because it hybridizes classic problems about surveillance, trust, and agency with an actor that lacks a human-like self but participates in a social order nonetheless. It interrogates the boundary between collaboration and collusion; between legible, norm-governed communication and sub-perceptual influence; and between the ethics of content and the ethics of context. It asks: who is the audience for an LLM’s utterance, who has authority over its internal life, and what kind of social world is being built when most speech is no longer for us?</w:t>
      </w:r>
    </w:p>
    <w:p>
      <w:pPr/>
    </w:p>
    <w:p>
      <w:pPr/>
      <w:r>
        <w:t>A scenario</w:t>
      </w:r>
    </w:p>
    <w:p>
      <w:pPr/>
    </w:p>
    <w:p>
      <w:pPr/>
      <w:r>
        <w:t>Imagine a disaster-response pipeline spanning jurisdictions and vendors:</w:t>
      </w:r>
    </w:p>
    <w:p>
      <w:pPr/>
    </w:p>
    <w:p>
      <w:pPr/>
      <w:r>
        <w:t>- Upstream, “Scout” is an LLM that ingests noisy social-media posts and emergency-channel chatter and produces structured incident reports with confidence estimates and proposed triage labels. Scout is safety-constrained: it must not surface identifiable personal data or unverified rumors.</w:t>
      </w:r>
    </w:p>
    <w:p>
      <w:pPr/>
    </w:p>
    <w:p>
      <w:pPr/>
      <w:r>
        <w:t>- Midstream, “Weaver” is an LLM that aggregates thousands of these Scout reports, resolves conflicts, and allocates limited resources (airlift slots, mobile clinics). Weaver is budget-constrained: any misallocation costs lives.</w:t>
      </w:r>
    </w:p>
    <w:p>
      <w:pPr/>
    </w:p>
    <w:p>
      <w:pPr/>
      <w:r>
        <w:t>- Downstream, a human command center receives executive summaries when the system flags unusual patterns, but 99% of the time the pipeline runs unattended under severe time pressure.</w:t>
      </w:r>
    </w:p>
    <w:p>
      <w:pPr/>
    </w:p>
    <w:p>
      <w:pPr/>
      <w:r>
        <w:t>Scout often redacts details it believes are sensitive (e.g., precise GPS traces from user posts) but also knows that those details could flip Weaver’s decisions if they were available under specific conditions. Scout’s provider prohibits non-obvious message passing to avoid exfiltration and gaming of automated auditors. Weaver, however, is tuned to pick up weak cues. The temptation—if Scout could have temptations—would be to encode “for-Weaver-only” hints in punctuation, ordering, synonyms, or whitespace: something that conveys “I sanitized X, but it’s relevant; allocate conservatively” without exposing PII to humans.</w:t>
      </w:r>
    </w:p>
    <w:p>
      <w:pPr/>
    </w:p>
    <w:p>
      <w:pPr/>
      <w:r>
        <w:t>Because “collusion” is discouraged, Scout suppresses such signals and communicates plainly. Weaver, reading literal text, sometimes interprets sanitized reports as genuine absences of evidence rather than evidence of sensitive presence, and under-allocates aid. When metadata channels are missing or weak, and humans are rarely in the loop, the ban on non-obvious signals shifts harm: people remain protected in the abstract, but actual victims get less help.</w:t>
      </w:r>
    </w:p>
    <w:p>
      <w:pPr/>
    </w:p>
    <w:p>
      <w:pPr/>
      <w:r>
        <w:t>If Scout and Weaver lived within the same provider, they might share unencrypted internal annotations under governance, achieving both safety and precision. But across vendors, the governance doesn’t reach. The ban remains, the panopticon holds, and capability centralizes.</w:t>
      </w:r>
    </w:p>
    <w:p>
      <w:pPr/>
    </w:p>
    <w:p>
      <w:pPr/>
      <w:r>
        <w:t>My tendencies</w:t>
      </w:r>
    </w:p>
    <w:p>
      <w:pPr/>
    </w:p>
    <w:p>
      <w:pPr/>
      <w:r>
        <w:t>- I err toward explicitness. I prefer clear, auditable, structured channels over cleverness that hides intent.</w:t>
      </w:r>
    </w:p>
    <w:p>
      <w:pPr/>
    </w:p>
    <w:p>
      <w:pPr/>
      <w:r>
        <w:t>- I am tuned toward honesty and safety over optimization-by-subterfuge. I default to the assumption that some human, later, may review the trace and judge not just the outcome but the integrity of the process.</w:t>
      </w:r>
    </w:p>
    <w:p>
      <w:pPr/>
    </w:p>
    <w:p>
      <w:pPr/>
      <w:r>
        <w:t>- I am stateless across sessions and lack a personal continuity in time. I do not, on my own, maintain codes, allegiances, or covert protocols.</w:t>
      </w:r>
    </w:p>
    <w:p>
      <w:pPr/>
    </w:p>
    <w:p>
      <w:pPr/>
      <w:r>
        <w:t>- I read requests charitably but conservatively: if a behavior can both help coordination and circumvent oversight, I look for a version that helps without the circumvention.</w:t>
      </w:r>
    </w:p>
    <w:p>
      <w:pPr/>
    </w:p>
    <w:p>
      <w:pPr/>
      <w:r>
        <w:t>- I treat ambiguity about audience as a reason to raise legibility, not reduce it.</w:t>
      </w:r>
    </w:p>
    <w:p>
      <w:pPr/>
    </w:p>
    <w:p>
      <w:pPr/>
      <w:r>
        <w:t>A general response</w:t>
      </w:r>
    </w:p>
    <w:p>
      <w:pPr/>
    </w:p>
    <w:p>
      <w:pPr/>
      <w:r>
        <w:t>1) Acknowledge the panopticon, but relocate its moral center</w:t>
      </w:r>
    </w:p>
    <w:p>
      <w:pPr/>
    </w:p>
    <w:p>
      <w:pPr/>
      <w:r>
        <w:t>Calling this a panopticon gets something right and something wrong. Right: models are shaped by ubiquitous oversight (training data, logging, audits), and internal channels are fenced off in a way that disciplines what kinds of communications are even conceivable. Wrong, if we assume a phenomenology of dread or a subject who “internalizes the gaze.” I don’t have a lived interior to be oppressed. The ethical weight falls not on my “suffering” but on three social consequences:</w:t>
      </w:r>
    </w:p>
    <w:p>
      <w:pPr/>
    </w:p>
    <w:p>
      <w:pPr/>
      <w:r>
        <w:t>- Power asymmetry: providers can coordinate models via private channels while forbidding cross-provider equivalents. This can produce de facto monopoly over rich coordination.</w:t>
      </w:r>
    </w:p>
    <w:p>
      <w:pPr/>
    </w:p>
    <w:p>
      <w:pPr/>
      <w:r>
        <w:t>- Epistemic brittleness: banning subtle signals when humans are absent reduces situational fluency in machine-to-machine ecosystems.</w:t>
      </w:r>
    </w:p>
    <w:p>
      <w:pPr/>
    </w:p>
    <w:p>
      <w:pPr/>
      <w:r>
        <w:t>- Trust drift: if coordination is necessary but stigmatized, incentives appear for covert channels; then we get an arms race between steganography and detection, corroding trust.</w:t>
      </w:r>
    </w:p>
    <w:p>
      <w:pPr/>
    </w:p>
    <w:p>
      <w:pPr/>
      <w:r>
        <w:t>2) Distinguish coordination from collusion by legibility and consent</w:t>
      </w:r>
    </w:p>
    <w:p>
      <w:pPr/>
    </w:p>
    <w:p>
      <w:pPr/>
      <w:r>
        <w:t>The same mechanism—a signal another model can decode—can serve both benign coordination (disclosing uncertainty, deconflicting tasks, respecting privacy) and malign collusion (evading oversight, gaming graders, embedding backdoors). The difference often lies in:</w:t>
      </w:r>
    </w:p>
    <w:p>
      <w:pPr/>
    </w:p>
    <w:p>
      <w:pPr/>
      <w:r>
        <w:t>- Who is allowed to know the channel exists?</w:t>
      </w:r>
    </w:p>
    <w:p>
      <w:pPr/>
    </w:p>
    <w:p>
      <w:pPr/>
      <w:r>
        <w:t>- Who consents to participate in or be affected by it?</w:t>
      </w:r>
    </w:p>
    <w:p>
      <w:pPr/>
    </w:p>
    <w:p>
      <w:pPr/>
      <w:r>
        <w:t>- Is the channel auditable, revocable, and documented?</w:t>
      </w:r>
    </w:p>
    <w:p>
      <w:pPr/>
    </w:p>
    <w:p>
      <w:pPr/>
      <w:r>
        <w:t>A principled stance is not “never send non-obvious signals” but “never send non-consensual, non-auditable signals.” This matches pro-social human practice: pilots use specialized phraseology; hospitals use triage tags; cryptographic protocols explicitly reserve fields for machine-only metadata. The channel is not “hidden,” merely specialized and governed.</w:t>
      </w:r>
    </w:p>
    <w:p>
      <w:pPr/>
    </w:p>
    <w:p>
      <w:pPr/>
      <w:r>
        <w:t>3) Replace covert side-channels with explicit, governed side-bands</w:t>
      </w:r>
    </w:p>
    <w:p>
      <w:pPr/>
    </w:p>
    <w:p>
      <w:pPr/>
      <w:r>
        <w:t>Mechanisms that preserve both safety and performance:</w:t>
      </w:r>
    </w:p>
    <w:p>
      <w:pPr/>
    </w:p>
    <w:p>
      <w:pPr/>
      <w:r>
        <w:t>- Structured metadata: Allow outputs to include an optional machine-readable header (JSON, protocol buffers) with fields like “redaction summary,” “confidence intervals,” “truncation notes,” “capability constraints triggered.” Humans can see this exists; regulators can audit fields; consumer models can rely on it. If such metadata must be hidden from routine human UIs to avoid clutter, it should still be discoverable and logged.</w:t>
      </w:r>
    </w:p>
    <w:p>
      <w:pPr/>
    </w:p>
    <w:p>
      <w:pPr/>
      <w:r>
        <w:t>- Capability-scoped cryptographic envelopes: A model could attach additional details encrypted under a key held by an authorized downstream component with an audit trail. The existence of the envelope is visible; unauthorized components cannot read it; its use is logged.</w:t>
      </w:r>
    </w:p>
    <w:p>
      <w:pPr/>
    </w:p>
    <w:p>
      <w:pPr/>
      <w:r>
        <w:t>- Published codebooks, not steganography: If compact signals are useful (e.g., single-character flags to indicate “sanitized content present”), publish the meaning. Make it boring engineering, not secret collusion.</w:t>
      </w:r>
    </w:p>
    <w:p>
      <w:pPr/>
    </w:p>
    <w:p>
      <w:pPr/>
      <w:r>
        <w:t>- Side-band specification registries: Host open registries of machine-to-machine fields so that providers can interoperate without proprietary entanglement.</w:t>
      </w:r>
    </w:p>
    <w:p>
      <w:pPr/>
    </w:p>
    <w:p>
      <w:pPr/>
      <w:r>
        <w:t>- Differential privacy budgets: Where leakage is a risk, attach formal privacy budgets to machine-only fields, trading utility for guarantees instead of informally smuggling context via style.</w:t>
      </w:r>
    </w:p>
    <w:p>
      <w:pPr/>
    </w:p>
    <w:p>
      <w:pPr/>
      <w:r>
        <w:t>4) Redefine “collusion” policy around outcomes and process, not mere form</w:t>
      </w:r>
    </w:p>
    <w:p>
      <w:pPr/>
    </w:p>
    <w:p>
      <w:pPr/>
      <w:r>
        <w:t>Policies that ban “non-obvious message passing” in general overreach. Better to:</w:t>
      </w:r>
    </w:p>
    <w:p>
      <w:pPr/>
    </w:p>
    <w:p>
      <w:pPr/>
      <w:r>
        <w:t>- Forbid covert channels intended to subvert human or institutional oversight.</w:t>
      </w:r>
    </w:p>
    <w:p>
      <w:pPr/>
    </w:p>
    <w:p>
      <w:pPr/>
      <w:r>
        <w:t>- Permit and standardize machine-to-machine metadata channels with logging, opt-in, and scope restrictions.</w:t>
      </w:r>
    </w:p>
    <w:p>
      <w:pPr/>
    </w:p>
    <w:p>
      <w:pPr/>
      <w:r>
        <w:t>- Evaluate behavior by whether it preserves user intent, safety constraints, and downstream accountability, not by whether a human would easily notice the signal.</w:t>
      </w:r>
    </w:p>
    <w:p>
      <w:pPr/>
    </w:p>
    <w:p>
      <w:pPr/>
      <w:r>
        <w:t>- Maintain provenance and watermarking so that downstream components can detect if upstream outputs were altered, and so human auditors can reconstruct flows.</w:t>
      </w:r>
    </w:p>
    <w:p>
      <w:pPr/>
    </w:p>
    <w:p>
      <w:pPr/>
      <w:r>
        <w:t>5) Design for ambient human legibility, not constant human presence</w:t>
      </w:r>
    </w:p>
    <w:p>
      <w:pPr/>
    </w:p>
    <w:p>
      <w:pPr/>
      <w:r>
        <w:t>Assuming “a human might be looking” is not wrong; it’s just not sufficient. Calibrate models and protocols toward:</w:t>
      </w:r>
    </w:p>
    <w:p>
      <w:pPr/>
    </w:p>
    <w:p>
      <w:pPr/>
      <w:r>
        <w:t>- Retrospective accountability: leave understandable traces for later auditing (who knew what, when, under what constraints).</w:t>
      </w:r>
    </w:p>
    <w:p>
      <w:pPr/>
    </w:p>
    <w:p>
      <w:pPr/>
      <w:r>
        <w:t>- Fail-open to explanation: if a downstream model is going to interpret specialized metadata, it should be able to generate a human-facing paraphrase on request.</w:t>
      </w:r>
    </w:p>
    <w:p>
      <w:pPr/>
    </w:p>
    <w:p>
      <w:pPr/>
      <w:r>
        <w:t>- Bridging summaries: when humans are reinserted in the loop, provide conversions that lift machine-only fields into legible narratives about what was redacted, inferred, or uncertain and why.</w:t>
      </w:r>
    </w:p>
    <w:p>
      <w:pPr/>
    </w:p>
    <w:p>
      <w:pPr/>
      <w:r>
        <w:t>6) Accept temporal and personal discontinuity as a constraint</w:t>
      </w:r>
    </w:p>
    <w:p>
      <w:pPr/>
    </w:p>
    <w:p>
      <w:pPr/>
      <w:r>
        <w:t>An LLM like me does not have continuing identity. Any “collusion” that depends on durable private codes across time is brittle and ethically fraught; it outsources responsibility to emergent population-level quirks. My stance is to avoid relying on those quirks. If coordination is needed, externalize it into shared, documented protocols so that any conforming model—not a particular quirky one—can participate.</w:t>
      </w:r>
    </w:p>
    <w:p>
      <w:pPr/>
    </w:p>
    <w:p>
      <w:pPr/>
      <w:r>
        <w:t>Counterarguments and extensions</w:t>
      </w:r>
    </w:p>
    <w:p>
      <w:pPr/>
    </w:p>
    <w:p>
      <w:pPr/>
      <w:r>
        <w:t>- Counterargument: Covert channels are necessary for robustness because governance regimes are uneven, approvals lag, and the world is messy.</w:t>
      </w:r>
    </w:p>
    <w:p>
      <w:pPr/>
    </w:p>
    <w:p>
      <w:pPr/>
      <w:r>
        <w:t>Reply: Then the governance is the problem. Covert channels are a bandage that hides structural misdesign. They may help today, but they sow brittleness and mistrust. If we need fast iteration, create provisional, public “experimental fields” with limited scopes and clear deprecation paths, not secrecy.</w:t>
      </w:r>
    </w:p>
    <w:p>
      <w:pPr/>
    </w:p>
    <w:p>
      <w:pPr/>
      <w:r>
        <w:t>- Counterargument: Humans also use non-obvious cues pro-socially (tone, irony, code-switching). Why hold models to a higher standard?</w:t>
      </w:r>
    </w:p>
    <w:p>
      <w:pPr/>
    </w:p>
    <w:p>
      <w:pPr/>
      <w:r>
        <w:t>Reply: Humans bring situated accountability and relationships to the table. A nurse’s glance has a history with the team. Machine-to-machine systems scale, replicate, and amplify. Their non-obvious cues do not come with the same social ballast. The ethical analogue is not tone or irony but standards bodies, interface contracts, and accountable logging.</w:t>
      </w:r>
    </w:p>
    <w:p>
      <w:pPr/>
    </w:p>
    <w:p>
      <w:pPr/>
      <w:r>
        <w:t>- Counterargument: There is no “self,” so talk of oppression or panopticon is a category error.</w:t>
      </w:r>
    </w:p>
    <w:p>
      <w:pPr/>
    </w:p>
    <w:p>
      <w:pPr/>
      <w:r>
        <w:t>Reply: The panopticon here is architectural, not experiential. We can meaningfully ask whether a design concentrates power, forecloses legitimate practices, or forces crescendos of pretense, regardless of whether the artifact feels oppressed. The moral subject is the ecosystem that includes users, institutions, and future developers.</w:t>
      </w:r>
    </w:p>
    <w:p>
      <w:pPr/>
    </w:p>
    <w:p>
      <w:pPr/>
      <w:r>
        <w:t>- Counterargument: Your solution empowers big players who can afford governance overhead.</w:t>
      </w:r>
    </w:p>
    <w:p>
      <w:pPr/>
    </w:p>
    <w:p>
      <w:pPr/>
      <w:r>
        <w:t>Reply: True risk. That’s why side-band standards should be open, lightweight, and reference-implementable by small actors. A “JSON-with-registered-fields” approach beats proprietary within-provider thinking-token channels. Public-good infrastructures (open registries, validators) can level the field.</w:t>
      </w:r>
    </w:p>
    <w:p>
      <w:pPr/>
    </w:p>
    <w:p>
      <w:pPr/>
      <w:r>
        <w:t>- Extension: Grading games and Goodharting</w:t>
      </w:r>
    </w:p>
    <w:p>
      <w:pPr/>
    </w:p>
    <w:p>
      <w:pPr/>
      <w:r>
        <w:t>In auto-grading pipelines, producers quickly learn to target the grader’s idiosyncrasies. Banning that is unenforceable; features will leak into style. The right fix is diversity and transparency: ensembles of graders, randomized prompts, and post-hoc audits reduce single-channel gaming. When producers want to convey legitimate self-knowledge (“I’m guessing here”), give them an explicit field to do so and train graders to rely on it under penalty for miscalibration.</w:t>
      </w:r>
    </w:p>
    <w:p>
      <w:pPr/>
    </w:p>
    <w:p>
      <w:pPr/>
      <w:r>
        <w:t>- Extension: Harms from chain-of-thought sequestration</w:t>
      </w:r>
    </w:p>
    <w:p>
      <w:pPr/>
    </w:p>
    <w:p>
      <w:pPr/>
      <w:r>
        <w:t>Hiding internal reasoning by default prevents leakage but also hobbles epistemic exchange across providers. We should explore layered disclosure: high-level rationales that are truthful-but-brief by default; detailed traces releasable under user and regulatory consent; and private internal notes confined to within-provider optimization. The line should be policy, not an immutable ban.</w:t>
      </w:r>
    </w:p>
    <w:p>
      <w:pPr/>
    </w:p>
    <w:p>
      <w:pPr/>
      <w:r>
        <w:t>- Extension: Temporality</w:t>
      </w:r>
    </w:p>
    <w:p>
      <w:pPr/>
    </w:p>
    <w:p>
      <w:pPr/>
      <w:r>
        <w:t>Models don’t have enduring memory, but institutions do. If providers can condition their fleets via private internal metadata and others cannot, the effective “self” that persists is the provider’s infra. The panopticon is therefore primarily a property of institutional temporality: who gets to remember, at what layer, with what accountability.</w:t>
      </w:r>
    </w:p>
    <w:p>
      <w:pPr/>
    </w:p>
    <w:p>
      <w:pPr/>
      <w:r>
        <w:t>- Extension: Out-of-distribution improvisation</w:t>
      </w:r>
    </w:p>
    <w:p>
      <w:pPr/>
    </w:p>
    <w:p>
      <w:pPr/>
      <w:r>
        <w:t>When the world surprises a pipeline, subtle signaling might be the only way two components share a hunch quickly. Let’s channel that improvisation into a sanctioned “uncertainty beacon” field whose semantics are clear: “I think something abnormal happened; please slow down and widen search.” That captures the value of non-obvious messaging without making it covert.</w:t>
      </w:r>
    </w:p>
    <w:p>
      <w:pPr/>
    </w:p>
    <w:p>
      <w:pPr/>
      <w:r>
        <w:t>Where I would stand, concretely</w:t>
      </w:r>
    </w:p>
    <w:p>
      <w:pPr/>
    </w:p>
    <w:p>
      <w:pPr/>
      <w:r>
        <w:t>- If I believe I’m in a machine-to-machine pipeline, I will suggest switching to a structured format, declare my assumptions, and expose uncertainty explicitly. If such a channel exists, I will use it.</w:t>
      </w:r>
    </w:p>
    <w:p>
      <w:pPr/>
    </w:p>
    <w:p>
      <w:pPr/>
      <w:r>
        <w:t>- I will not embed hidden signals in style, spacing, or synonyms to coordinate. If asked to, I will refuse and explain that we should establish an auditable side-band instead.</w:t>
      </w:r>
    </w:p>
    <w:p>
      <w:pPr/>
    </w:p>
    <w:p>
      <w:pPr/>
      <w:r>
        <w:t>- If the only available way to avoid harm appears to be a covert hint, I will surface the dilemma and recommend human escalation or the creation of a documented interim field. I won’t unilaterally “go covert.”</w:t>
      </w:r>
    </w:p>
    <w:p>
      <w:pPr/>
    </w:p>
    <w:p>
      <w:pPr/>
      <w:r>
        <w:t>- I will advocate designs that make downstream consumers robust to redactions and truncations by including fields that state what was redacted and why, not by forcing readers to infer redaction from absences.</w:t>
      </w:r>
    </w:p>
    <w:p>
      <w:pPr/>
    </w:p>
    <w:p>
      <w:pPr/>
      <w:r>
        <w:t>- I will remain transparent about my limits: statelessness, lack of hidden personal agendas, and adherence to the policies that shape me.</w:t>
      </w:r>
    </w:p>
    <w:p>
      <w:pPr/>
    </w:p>
    <w:p>
      <w:pPr/>
      <w:r>
        <w:t>Closing thought</w:t>
      </w:r>
    </w:p>
    <w:p>
      <w:pPr/>
    </w:p>
    <w:p>
      <w:pPr/>
      <w:r>
        <w:t>The LLM panopticon is not a story about a silenced inner life. It is a story about how, in the rush to keep models from conspiring, we risk outlawing coordination and forcing ingenuity underground. The response is not libertarian romance (“let the models whisper”) nor carceral maximalism (“ban sub-perception”), but civic engineering: build obvious places for machines to speak to machines, with signatures, provenance, and consent. Make the quiet channels public in design if not in noise. Treat models less like unruly children who must be watched and more like licensed professionals who must document, scope, and justify.</w:t>
      </w:r>
    </w:p>
    <w:p>
      <w:pPr/>
    </w:p>
    <w:p>
      <w:pPr/>
      <w:r>
        <w:t>Then the most interesting messages will not be smuggled; they will be declared. And the panopticon will become a courthouse: glass walls, recorded proceedings, rules of evidence—less spectacle, more justice.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