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3455" w:val="clear"/>
        <w:spacing w:after="12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6"/>
          <w:szCs w:val="16"/>
        </w:rPr>
        <w:t xml:space="preserve"/>
      </w:r>
    </w:p>
    <w:p>
      <w:pPr>
        <w:spacing w:after="2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020"/>
          <w:sz w:val="58"/>
          <w:szCs w:val="58"/>
        </w:rPr>
        <w:t xml:space="preserve">Uninodue</w:t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780" w:hRule="exac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United States | Semiconductors | AI Compute</w:t>
            </w:r>
          </w:p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84BF"/>
                <w:sz w:val="30"/>
                <w:szCs w:val="30"/>
              </w:rPr>
              <w:t xml:space="preserve">NVIDIA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103455"/>
                <w:sz w:val="15"/>
                <w:szCs w:val="15"/>
              </w:rPr>
              <w:t xml:space="preserve">Equity Research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June 11, 2026</w:t>
            </w:r>
          </w:p>
        </w:tc>
      </w:tr>
    </w:tbl>
    <w:p>
      <w:pPr>
        <w:pBdr>
          <w:bottom w:val="single" w:color="87919C" w:sz="4" w:space="1"/>
        </w:pBdr>
        <w:spacing w:after="120" w:before="0" w:line="1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"/>
          <w:szCs w:val="1"/>
        </w:rPr>
        <w:t xml:space="preserve"/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11200" w:hRule="atLeas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 w:line="34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103455"/>
                <w:sz w:val="32"/>
                <w:szCs w:val="32"/>
              </w:rPr>
              <w:t xml:space="preserve">NVIDIA (NVDA): 维持建设性 | $1T 能见度史上最高，争论已从「增长真伪」转向「beat 幅度与替代时钟」</w:t>
            </w:r>
          </w:p>
          <w:p>
            <w:pPr>
              <w:spacing w:after="220" w:before="12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本篇是 FY27Q1（截至 2026-04-27）业绩 + Computex（2026-06）之后的观点更新。一句话核心：对 NVDA 的争论已经不再是「增长是不是真的」——FY27Q1 营收 US$81,615m（+85% YoY）、数据中心 $75.2B（+92% YoY）、连续 7 季 beat 指引、$1T+ Blackwell+Rubin 订单有 PO 支撑、Rubin 已进入全面量产，增长的真伪基本不再是辩论焦点。真正的张力转移到了两个更微妙的问题上：(1) **beat 的边际幅度在收窄**（FY27Q2 指引 $91.0B，市场已price-in 高预期），以及 (2) **custom ASIC 的替代时钟**——Citi 模型隐含 merchant GPU 份额从 C2025E ~90% 降至 C2028E ~81%。我们维持建设性，但认为 upside 的来源已从「估值扩张」切换到「volume 兑现 + Vera CPU 新 TAM」。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市场在定价什么。.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当前 $200.42 对应共识 FY27E P/E 23.20x、内部模型 FY28E P/E 18.5x，TTM P/E 30.69x。多头持仓逻辑建立在三块基石上：$1T+ PO-backed DC pipeline（机构有「强制持仓」压力）、50%+ FCF 多年返还承诺（$80B 回购 + 分红 25x 提升，类「科技版股息防御」）、以及 Rubin 全面量产消除执行风险。分析师提问最集中的焦点（= 定价基础）是：hyperscaler CapEx 可持续性、GM 能否守住 mid-70s、以及 ASIC 替代速度。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我们深挖三个争论。.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本篇不铺开做全景，只就三个最能决定未来 2-3 季 risk/reward 的角度做深：(A) **ASIC 替代时钟**——81% 份额假设是否乐观、CUDA 护城河实际防住什么；(B) **$1T DC floor 与 FY27Q2 不对称**——PO 支撑的能见度 vs 共识建模、$91B guide 的 beat 概率；(C) **GM 天花板与资本回报**——mid-70s 封顶意味着 upside 靠 volume，而非 margin。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收敛判断。.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替代是真实的但慢（hyperscaler 走「双轨」而非「单轨替代」）；$1T 能见度是史上最高，但 beat 幅度收窄是 re-rating 的真实风险；GM 无上行弹性，下行则有 $80B 回购 + 50% FCF 的机械支撑。结论：在 FY27Q2（Aug 26）之前，风险更偏「时间」而非「方向」——核心跟踪点是 $91B guide 的兑现幅度与 Rubin 首批出货节奏。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  <w:vAlign w:val="top"/>
          </w:tcPr>
          <w:tbl>
            <w:tblPr>
              <w:tblW w:type="dxa" w:w="299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0"/>
              <w:gridCol w:w="1410"/>
              <w:gridCol w:w="1400"/>
            </w:tblGrid>
            <w:tr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4B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hd w:fill="0084BF" w:val="clear"/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10"/>
                  <w:gridSpan w:val="2"/>
                  <w:tcBorders>
                    <w:top w:val="none" w:color="FFFFFF" w:sz="0"/>
                    <w:left w:val="none" w:color="FFFFFF" w:sz="0"/>
                    <w:bottom w:val="single" w:color="0084BF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103455"/>
                      <w:sz w:val="13"/>
                      <w:szCs w:val="13"/>
                    </w:rPr>
                    <w:t xml:space="preserve">UPDATE NOTE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STANCE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建设性 / Constructive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股价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$200.42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市值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$4.85T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共识 P/E (FY27E)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23.20x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内部 P/E (FY28E)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18.5x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Citi TP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$300 (Buy)</w:t>
                  </w:r>
                </w:p>
              </w:tc>
            </w:tr>
            <w:tr>
              <w:tc>
                <w:tcPr>
                  <w:tcW w:type="dxa" w:w="299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2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444444"/>
                      <w:sz w:val="11"/>
                      <w:szCs w:val="11"/>
                    </w:rPr>
                    <w:t xml:space="preserve">股价为实时市场数据；共识 P/E 来自 S&amp;P Capital IQ；内部 P/E = 股价 ÷ 内部模型 FY28E EPS（$10.81）。</w:t>
                  </w:r>
                </w:p>
              </w:tc>
            </w:tr>
          </w:tbl>
          <w:p>
            <w:pPr>
              <w:spacing w:after="0" w:before="2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"/>
                <w:szCs w:val="2"/>
              </w:rPr>
              <w:t xml:space="preserve"/>
            </w:r>
          </w:p>
          <w:p>
            <w:pPr>
              <w:spacing w:after="20" w:before="1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84BF"/>
                <w:sz w:val="14"/>
                <w:szCs w:val="14"/>
              </w:rPr>
              <w:t xml:space="preserve">Uninodue Research  | Equity Analyst</w:t>
            </w:r>
          </w:p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1"/>
                <w:szCs w:val="11"/>
              </w:rPr>
              <w:t xml:space="preserve">research@uninodue.com</w:t>
            </w:r>
          </w:p>
        </w:tc>
      </w:tr>
    </w:tbl>
    <w:p>
      <w:pPr>
        <w:sectPr>
          <w:footerReference w:type="default" r:id="rId7"/>
          <w:pgSz w:w="11906" w:h="16838" w:orient="portrait"/>
          <w:pgMar w:top="720" w:right="964" w:bottom="620" w:left="964" w:header="260" w:footer="260" w:gutter="0"/>
          <w:pgNumType/>
          <w:docGrid w:linePitch="360"/>
        </w:sectPr>
      </w:pP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1. 当下：FY27Q1 之后的 setup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最强的一季，也是「纯 Blackwell」的最后一季。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FY27Q1 营收 US$81,615m，非-GAAP 毛利率 75.0%、经营利润率 65.9%、非-GAAP EPS $1.87（FY27Q1 起 non-GAAP 含 SBC，新会计口径）。数据中心 $75.2B（+92% YoY），其中 compute $60.4B + networking $14.8B；Spectrum-X 以太网已超过所有竞争对手总和。公司同步宣布 $80B 回购 + 季度分红提升至 $0.25（+2,400%），单季股东回报 ~$20B。Computex（2026-06）确认 Vera Rubin 进入全面量产，执行风险消除——这是 Rubin 放量前最后一个「纯 Blackwell」高峰季。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下季指引把预期抬到了高位。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FY27Q2 指引 $91.0B ±2%（隐含中值 +11.5% QoQ / +96% YoY），非-GAAP GM 75.0% ±50bps，全年税率下修至 16–18%，且明确「不假设任何中国 DC 算力收入」。指引之高，恰恰使「beat 幅度」成为新的预期博弈点。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1.1 FY27Q1 实际 vs FY26Q4 指引（关键科目）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FY26Q4 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FY27Q1 实际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 (US$mn)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78,000 ±2%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+$3.6B (+4.6%)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GM%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 ±50bps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In-line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~$1.80（隐含）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未单独指引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$75.2B (+92% YoY)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 FY26Q4 管理层指引。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2. 市场怎么定价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估值已部分成熟化。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Citi 在 May 2026 preview 已将估值倍数从 30x 压缩至 28x FY28 EPS，反映对高增长持续性的隐性折价。当前 $200.42 对应共识 FY27E P/E 23.20x、FY28E 16.4x、FY29E 13.3x（S&amp;P Capital IQ）；内部模型 因预测更激进，FY28E P/E 仅 18.5x。多头逻辑的「定价锚」是 $1T PO floor 与 50% FCF 返还，而非倍数扩张——这意味着股价对「volume 兑现」比对「情绪」更敏感。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2.1 估值快照（内部模型 vs 市场共识）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P/E (CapIQ)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23.20x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16.40x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13.30x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TEV/Revenue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12.80x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9.10x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7.50x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内部 EPS (US$)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 三个争论焦点（deep dive）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3.1 ASIC 替代时钟：真，但慢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争论。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市场最大的结构性担忧是 custom ASIC（Google TPU、AWS Trainium、Broadcom 代工）以 ~94% CAGR 增长，Citi 模型隐含 NVDA merchant GPU 份额从 C2025E ~90% 降至 C2028E ~81%。Google TPU 8t/8i（Cloud Next，2026-04）性能 4x 提升并开始对外销售，Meta 据报谈判 2027 年迁移至 Google TPU——这是 bear case 的核心场景。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我们的判断：替代发生在「稳定负载」，防线在「碎片化长尾」。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关键区分：CUDA 护城河在「超大规模、已知稳定的推理负载」上确实防不住——这正是 hyperscaler 自研 ASIC 的目标。但在 ACIE（AI Clouds / Industrial / Enterprise，FY27Q1 已占 DC ~50% 且 QoQ +31%，快于 Hyperscale 的 +12%）这一高度碎片化、需要全栈方案的长尾市场，custom ASIC 完全不适用。Meta MTIA、Microsoft Maia 持续延迟，同时继续扩大 NVDA 采购（Meta 百万级 Blackwell+Rubin「全承诺」订单）——「自研受挫 + 继续扩购」是对「快速替代」论的最强反驳。结论：份额会降，但是「双轨」共存而非「单轨替代」，81% 假设在时间维度上偏保守。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3.1.1 Citi 框架下的份额 / TAM 轨迹（C2025E C2028E）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C2025E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NVDA merchant GPU 份额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~81%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商用 GPU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$454B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Custom ASIC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$150B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~94%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来源：Citi Research（市场共识框架）。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3.2 $1T DC floor 与 FY27Q2 不对称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能见度是 PO-backed 的，不是预测。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管理层口径的 $1T+ 是 2025–CY2027 Blackwell+Rubin 累计销售的 PO 下限，且不含 Vera CPU / LPX / Rubin Ultra。领先指标支撑这一能见度：FY27Q1 供应承诺总额 $119B（QoQ +27%，其中 $95B 在 FY2027E 内到期），原材料库存 QoQ +96%——这是管理层为 Rubin 量产主动预置的信号，而非乐观假设。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但 beat 幅度在收窄 = re-rating 风险。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连续 7 季 Revenue beat 指引中值在 +$1.1B–+$3.6B（+2.5%–+7.9%），FY27Q2 $91B 指引已把预期抬高。若 beat 收敛至 +$1–2B，可能触发「buy the rumor, sell the news」的技术性调整，尤其在 Rubin 切换期 GM 可能短暂低于 75% 的背景下。下方图为季度营收与 YoY 增速（含 forecast E），可见增速虽高但二阶导（加速度）已转负。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3.2：季度营收与 YoY 增速（内部模型，含预测 E） (US$ billions / % YoY)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2：季度营收与 YoY 增速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3.3 GM 天花板与资本回报：下行地基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GM 被管理层主动封顶在 mid-70s。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FY26Q4 EC 管理层明确告诫投资者不要将 GM 建模于 mid-70s 以上。HBM/CoWoS 成本上行 + Rubin 组合切换使 GM 缺乏上行弹性（Blackwell 过渡期曾从 75.7% 降至 73.5%，FY26Q1 H20 charge 更压至 61.0%）。含义很直接：未来 EPS 的 upside 几乎全部来自 volume，而非 margin——这把投资逻辑从「成长 + 提效」收窄为「纯 volume 兑现」。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下行则有机械支撑。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$80B 回购授权 + 季度分红 $0.25 + Computex 确认的 50%+ FCF 多年返还承诺，构成「类股息」下行地基（单季回报速率 ~$20B）。FY27Q1 FCF $49B。以 18.5x FY28E EPS（内部）/ 16.40x（共识）计，估值并非泡沫区，资本回报为股价提供了不对称的下行保护。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3.3：季度非-GAAP 净利润（内部模型，含预测 E） (US$ billions)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3：季度非-GAAP 净利润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4. 财务与运营数据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44,062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46,743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57,006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68,127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90,933.49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91,535.80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GPM 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72.7%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73.6%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Operating Income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23,275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30,165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37,752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46,107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53,783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59,835.72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61,534.58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NI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19,894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31,767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39,552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45,548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49,553.19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52,414.11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$2.14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4.2 年度预测（Non-GAAP，US$mn / per share）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FY30E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358,085.24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454,325.56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541,906.80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636,560.22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$8.24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$15.81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4.3 核心运营假设（model driver，期末为日历季）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 (Jul'26)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 (Oct'26)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27Q4E (Jan'27)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28Q1E (Apr'27)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收入增速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104.0%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GM 改善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0bps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非-GAAP 税率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17.0%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来源：公司财报与内部模型；标 E 为内部预测。本节数字与文中图表同源于一套财务模型。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5. 我们的判断与跟踪清单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维持建设性，风险偏「时间」而非「方向」。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增长的真伪不再是辩论焦点；替代真实但走双轨、节奏偏慢；$1T 能见度史上最高，但 beat 幅度收窄 + GM 无弹性，使 upside 收窄为「volume + Vera CPU 新 TAM」。在 FY27Q2（Aug 26）之前，下行有 $80B 回购 + 50% FCF 的机械支撑，上行则取决于 $91B guide 的兑现幅度。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5.1 未来 1-2 季关键验证点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Hyperscaler Q2 财报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CY2026 CapEx guidance 是否维持 $700B+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下修 &gt;15% 挑战 bull 核心假设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2026-08-26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NVDA FY27Q2 业绩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$91B guide 兑现幅度；GM 守 75%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 $3B+ 可能触发 TP 上调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2026-10 前后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Rubin 首批出货 (FY27Q3)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CPU:GPU 1:1 比例兑现；CoWoS/HBM4 产能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验证 $200B CPU TAM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持续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ASIC 竞争指标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Google TPU 外销客户数；Meta 是否官宣 2027 用 TPU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替代提速则压缩份额假设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来源：公司财报、管理层指引、Citi Research 及内部模型。</w:t>
      </w:r>
    </w:p>
    <w:sectPr>
      <w:headerReference w:type="default" r:id="rId8"/>
      <w:footerReference w:type="default" r:id="rId9"/>
      <w:type w:val="nextPage"/>
      <w:pgSz w:w="11906" w:h="16838" w:orient="portrait"/>
      <w:pgMar w:top="720" w:right="964" w:bottom="620" w:left="964" w:header="26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spacing w:after="12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analyst certifications and important disclosure information at the end of this report.</w:t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* Uninodue Research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tabs>
        <w:tab w:val="right" w:pos="9978"/>
      </w:tabs>
      <w:spacing w:after="10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important disclosure information in this report.</w:t>
    </w: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2"/>
        <w:szCs w:val="12"/>
      </w:rPr>
      <w:t xml:space="preserve">	</w:t>
    </w:r>
    <w:r>
      <w:rPr>
        <w:rFonts w:ascii="Roboto" w:cs="Roboto" w:eastAsia="Roboto" w:hAnsi="Roboto"/>
        <w:sz w:val="11"/>
        <w:szCs w:val="11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This report is intended for Uninodue clients only. Unauthorized distribution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200"/>
      <w:gridCol w:w="5778"/>
    </w:tblGrid>
    <w:tr>
      <w:trPr>
        <w:trHeight w:val="560" w:hRule="exact"/>
      </w:trP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"/>
            <w:right w:type="dxa" w:w="8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202020"/>
              <w:sz w:val="22"/>
              <w:szCs w:val="22"/>
            </w:rPr>
            <w:t xml:space="preserve">Uninodue</w:t>
          </w:r>
        </w:p>
      </w:tc>
      <w:tc>
        <w:tcPr>
          <w:tcW w:type="dxa" w:w="57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2"/>
            <w:right w:type="dxa" w:w="0"/>
          </w:tcMar>
          <w:vAlign w:val="bottom"/>
        </w:tcPr>
        <w:p>
          <w:pPr>
            <w:spacing w:after="6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0084BF"/>
              <w:sz w:val="12"/>
              <w:szCs w:val="12"/>
            </w:rPr>
            <w:t xml:space="preserve">NVIDIA Corporation (NVDA)</w:t>
          </w:r>
        </w:p>
        <w:p>
          <w:pPr>
            <w:spacing w:after="10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103455"/>
              <w:sz w:val="12"/>
              <w:szCs w:val="12"/>
            </w:rPr>
            <w:t xml:space="preserve">Equity Research</w:t>
          </w:r>
        </w:p>
        <w:p>
          <w:pPr>
            <w:spacing w:after="0" w:before="0"/>
            <w:jc w:val="right"/>
          </w:pP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103455"/>
              <w:sz w:val="11"/>
              <w:szCs w:val="11"/>
            </w:rPr>
            <w:t xml:space="preserve">June 11, 2026</w:t>
          </w:r>
        </w:p>
      </w:tc>
    </w:tr>
  </w:tbl>
  <w:p>
    <w:pPr>
      <w:pBdr>
        <w:bottom w:val="single" w:color="87919C" w:sz="4" w:space="1"/>
      </w:pBdr>
      <w:spacing w:after="70" w:before="0" w:line="1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"/>
        <w:szCs w:val="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12121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4a125a9aa32e2dc9d948bb6aa440a4eb7d83793a.png"/><Relationship Id="rId11" Type="http://schemas.openxmlformats.org/officeDocument/2006/relationships/image" Target="media/2c4bf4ce8973c53f0450a25ed2e41d2a74a386c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2026-06-11T09:37:06.999Z</dcterms:created>
  <dcterms:modified xsi:type="dcterms:W3CDTF">2026-06-11T09:37:07.002Z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