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03455" w:val="clear"/>
        <w:spacing w:after="12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6"/>
          <w:szCs w:val="16"/>
        </w:rPr>
        <w:t xml:space="preserve"/>
      </w:r>
    </w:p>
    <w:p>
      <w:pPr>
        <w:spacing w:after="2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020"/>
          <w:sz w:val="58"/>
          <w:szCs w:val="58"/>
        </w:rPr>
        <w:t xml:space="preserve">Uninodue</w:t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780" w:hRule="exac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United States | Semiconductors | AI Compute</w:t>
            </w:r>
          </w:p>
          <w:p>
            <w:pPr>
              <w:spacing w:after="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0084BF"/>
                <w:sz w:val="30"/>
                <w:szCs w:val="30"/>
              </w:rPr>
              <w:t xml:space="preserve">NVIDIA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103455"/>
                <w:sz w:val="15"/>
                <w:szCs w:val="15"/>
              </w:rPr>
              <w:t xml:space="preserve">Equity Research</w:t>
            </w:r>
          </w:p>
          <w:p>
            <w:pPr>
              <w:spacing w:after="0" w:before="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5"/>
                <w:szCs w:val="15"/>
              </w:rPr>
              <w:t xml:space="preserve">June 11, 2026</w:t>
            </w:r>
          </w:p>
        </w:tc>
      </w:tr>
    </w:tbl>
    <w:p>
      <w:pPr>
        <w:pBdr>
          <w:bottom w:val="single" w:color="87919C" w:sz="4" w:space="1"/>
        </w:pBdr>
        <w:spacing w:after="120" w:before="0" w:line="1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"/>
          <w:szCs w:val="1"/>
        </w:rPr>
        <w:t xml:space="preserve"/>
      </w:r>
    </w:p>
    <w:tbl>
      <w:tblPr>
        <w:tblW w:type="dxa" w:w="99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478"/>
      </w:tblGrid>
      <w:tr>
        <w:trPr>
          <w:trHeight w:val="11200" w:hRule="atLeast"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 w:line="34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103455"/>
                <w:sz w:val="32"/>
                <w:szCs w:val="32"/>
              </w:rPr>
              <w:t xml:space="preserve">NVIDIA (NVDA): 维持建设性 | $1T 能见度史上最高，争论已从「增长真伪」转向「beat 幅度与替代时钟」</w:t>
            </w:r>
          </w:p>
          <w:p>
            <w:pPr>
              <w:spacing w:after="220" w:before="12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本篇是 FY27Q1（截至 2026-04-27）业绩 + Computex（2026-06）之后的观点更新。一句话核心：对 NVDA 的争论已经不再是「增长是不是真的」——FY27Q1 营收 US$81,615m（+85% YoY）、数据中心 $75.2B（+92% YoY）、连续 7 季 beat 指引、$1T+ Blackwell+Rubin 订单有 PO 支撑、Rubin 已进入全面量产，增长的真伪基本不再是辩论焦点。真正的张力转移到了两个更微妙的问题上：(1) **beat 的边际幅度在收窄**（FY27Q2 指引 $91.0B，市场已price-in 高预期），以及 (2) **custom ASIC 的替代时钟**——Citi 模型隐含 merchant GPU 份额从 C2025E ~90% 降至 C2028E ~81%。我们维持建设性，但认为 upside 的来源已从「估值扩张」切换到「volume 兑现 + Vera CPU 新 TAM」。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市场在定价什么。.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 $200.42 对应共识 FY27E P/E 23.20x、内部模型 FY28E P/E 18.5x，TTM P/E 30.69x。多头持仓逻辑建立在三块基石上：$1T+ PO-backed DC pipeline（机构有「强制持仓」压力）、50%+ FCF 多年返还承诺（$80B 回购 + 分红 25x 提升，类「科技版股息防御」）、以及 Rubin 全面量产消除执行风险。分析师提问最集中的焦点（= 定价基础）是：hyperscaler CapEx 可持续性、GM 能否守住 mid-70s、以及 ASIC 替代速度。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我们深挖三个争论。.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本篇不铺开做全景，只就三个最能决定未来 2-3 季 risk/reward 的角度做深：(A) **ASIC 替代时钟**——81% 份额假设是否乐观、CUDA 护城河实际防住什么；(B) **$1T DC floor 与 FY27Q2 不对称**——PO 支撑的能见度 vs 共识建模、$91B guide 的 beat 概率；(C) **GM 天花板与资本回报**——mid-70s 封顶意味着 upside 靠 volume，而非 margin。</w:t>
            </w:r>
          </w:p>
          <w:p>
            <w:pPr>
              <w:spacing w:after="15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收敛判断。. </w:t>
            </w: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替代是真实的但慢（hyperscaler 走「双轨」而非「单轨替代」）；$1T 能见度是史上最高，但 beat 幅度收窄是 re-rating 的真实风险；GM 无上行弹性，下行则有 $80B 回购 + 50% FCF 的机械支撑。结论：在 FY27Q2（Aug 26）之前，风险更偏「时间」而非「方向」——核心跟踪点是 $91B guide 的兑现幅度与 Rubin 首批出货节奏。</w:t>
            </w:r>
          </w:p>
        </w:tc>
        <w:tc>
          <w:tcPr>
            <w:tcW w:type="dxa" w:w="3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  <w:vAlign w:val="top"/>
          </w:tcPr>
          <w:tbl>
            <w:tblPr>
              <w:tblW w:type="dxa" w:w="29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0"/>
              <w:gridCol w:w="1410"/>
              <w:gridCol w:w="1400"/>
            </w:tblGrid>
            <w:tr>
              <w:tc>
                <w:tcPr>
                  <w:tcW w:type="dxa" w:w="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4B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hd w:fill="0084BF" w:val="clear"/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810"/>
                  <w:gridSpan w:val="2"/>
                  <w:tcBorders>
                    <w:top w:val="none" w:color="FFFFFF" w:sz="0"/>
                    <w:left w:val="none" w:color="FFFFFF" w:sz="0"/>
                    <w:bottom w:val="single" w:color="0084BF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103455"/>
                      <w:sz w:val="13"/>
                      <w:szCs w:val="13"/>
                    </w:rPr>
                    <w:t xml:space="preserve">UPDATE NOTE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STANCE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shd w:fill="C9EEF3" w:val="clear"/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建设性 / Constructive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股价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$200.42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市值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$4.85T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共识 P/E (FY27E)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23.20x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内部 P/E (FY28E)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18.5x</w:t>
                  </w:r>
                </w:p>
              </w:tc>
            </w:tr>
            <w:tr>
              <w:tc>
                <w:tcPr>
                  <w:tcW w:type="dxa" w:w="1590"/>
                  <w:gridSpan w:val="2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120"/>
                    <w:bottom w:type="dxa" w:w="86"/>
                    <w:right w:type="dxa" w:w="8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1"/>
                      <w:szCs w:val="11"/>
                    </w:rPr>
                    <w:t xml:space="preserve">Citi TP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87919C" w:sz="4"/>
                    <w:right w:val="none" w:color="FFFFFF" w:sz="0"/>
                  </w:tcBorders>
                  <w:tcMar>
                    <w:top w:type="dxa" w:w="86"/>
                    <w:left w:type="dxa" w:w="80"/>
                    <w:bottom w:type="dxa" w:w="86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000000"/>
                      <w:sz w:val="12"/>
                      <w:szCs w:val="12"/>
                    </w:rPr>
                    <w:t xml:space="preserve">$300 (Buy)</w:t>
                  </w:r>
                </w:p>
              </w:tc>
            </w:tr>
            <w:tr>
              <w:tc>
                <w:tcPr>
                  <w:tcW w:type="dxa" w:w="2990"/>
                  <w:gridSpan w:val="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spacing w:after="0" w:before="2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1"/>
                      <w:szCs w:val="11"/>
                    </w:rPr>
                    <w:t xml:space="preserve">股价为实时市场数据；共识 P/E 来自 S&amp;P Capital IQ；内部 P/E = 股价 ÷ 内部模型 FY28E EPS（$10.81）。</w:t>
                  </w:r>
                </w:p>
              </w:tc>
            </w:tr>
          </w:tbl>
          <w:p>
            <w:pPr>
              <w:spacing w:after="0" w:before="26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"/>
                <w:szCs w:val="2"/>
              </w:rPr>
              <w:t xml:space="preserve"/>
            </w:r>
          </w:p>
          <w:p>
            <w:pPr>
              <w:spacing w:after="20" w:before="10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84BF"/>
                <w:sz w:val="14"/>
                <w:szCs w:val="14"/>
              </w:rPr>
              <w:t xml:space="preserve">Uninodue Research  | Equity Analyst</w:t>
            </w:r>
          </w:p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103455"/>
                <w:sz w:val="11"/>
                <w:szCs w:val="11"/>
              </w:rPr>
              <w:t xml:space="preserve">research@uninodue.com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964" w:bottom="620" w:left="964" w:header="260" w:footer="260" w:gutter="0"/>
          <w:pgNumType/>
          <w:docGrid w:linePitch="360"/>
        </w:sectPr>
      </w:pP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1. 当下：FY27Q1 之后的 setup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最强的一季，也是「纯 Blackwell」的最后一季。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FY27Q1 营收 US$81,615m，非-GAAP 毛利率 75.0%、经营利润率 65.9%、非-GAAP EPS $1.87（FY27Q1 起 non-GAAP 含 SBC，新会计口径）。数据中心 $75.2B（+92% YoY），其中 compute $60.4B + networking $14.8B；Spectrum-X 以太网已超过所有竞争对手总和。公司同步宣布 $80B 回购 + 季度分红提升至 $0.25（+2,400%），单季股东回报 ~$20B。Computex（2026-06）确认 Vera Rubin 进入全面量产，执行风险消除——这是 Rubin 放量前最后一个「纯 Blackwell」高峰季。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下季指引把预期抬到了高位。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FY27Q2 指引 $91.0B ±2%（隐含中值 +11.5% QoQ / +96% YoY），非-GAAP GM 75.0% ±50bps，全年税率下修至 16–18%，且明确「不假设任何中国 DC 算力收入」。指引之高，恰恰使「beat 幅度」成为新的预期博弈点。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1.1 FY27Q1 实际 vs FY26Q4 指引（关键科目）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FY26Q4 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FY27Q1 实际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 (US$mn)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78,000 ±2%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+$3.6B (+4.6%)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GM%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 ±50bps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In-line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~$1.80（隐含）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未单独指引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$75.2B (+92% YoY)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 FY26Q4 管理层指引。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2. 市场怎么定价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估值已部分成熟化。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Citi 在 May 2026 preview 已将估值倍数从 30x 压缩至 28x FY28 EPS，反映对高增长持续性的隐性折价。当前 $200.42 对应共识 FY27E P/E 23.20x、FY28E 16.4x、FY29E 13.3x（S&amp;P Capital IQ）；内部模型 因预测更激进，FY28E P/E 仅 18.5x。多头逻辑的「定价锚」是 $1T PO floor 与 50% FCF 返还，而非倍数扩张——这意味着股价对「volume 兑现」比对「情绪」更敏感。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2.1 估值快照（内部模型 vs 市场共识）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P/E (CapIQ)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23.20x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16.40x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13.30x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共识 TEV/Revenue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12.80x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9.10x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7.50x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内部 EPS (US$)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 三个争论焦点（deep dive）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3.1 ASIC 替代时钟：真，但慢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争论。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市场最大的结构性担忧是 custom ASIC（Google TPU、AWS Trainium、Broadcom 代工）以 ~94% CAGR 增长，Citi 模型隐含 NVDA merchant GPU 份额从 C2025E ~90% 降至 C2028E ~81%。Google TPU 8t/8i（Cloud Next，2026-04）性能 4x 提升并开始对外销售，Meta 据报谈判 2027 年迁移至 Google TPU——这是 bear case 的核心场景。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我们的判断：替代发生在「稳定负载」，防线在「碎片化长尾」。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关键区分：CUDA 护城河在「超大规模、已知稳定的推理负载」上确实防不住——这正是 hyperscaler 自研 ASIC 的目标。但在 ACIE（AI Clouds / Industrial / Enterprise，FY27Q1 已占 DC ~50% 且 QoQ +31%，快于 Hyperscale 的 +12%）这一高度碎片化、需要全栈方案的长尾市场，custom ASIC 完全不适用。Meta MTIA、Microsoft Maia 持续延迟，同时继续扩大 NVDA 采购（Meta 百万级 Blackwell+Rubin「全承诺」订单）——「自研受挫 + 继续扩购」是对「快速替代」论的最强反驳。结论：份额会降，但是「双轨」共存而非「单轨替代」，81% 假设在时间维度上偏保守。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3.1.1 Citi 框架下的份额 / TAM 轨迹（C2025E C2028E）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C2025E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C2028E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NVDA merchant GPU 份额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~81%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商用 GPU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$454B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Custom ASIC TAM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$150B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~94%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来源：Citi Research（市场共识框架）。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3.2 $1T DC floor 与 FY27Q2 不对称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能见度是 PO-backed 的，不是预测。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管理层口径的 $1T+ 是 2025–CY2027 Blackwell+Rubin 累计销售的 PO 下限，且不含 Vera CPU / LPX / Rubin Ultra。领先指标支撑这一能见度：FY27Q1 供应承诺总额 $119B（QoQ +27%，其中 $95B 在 FY2027E 内到期），原材料库存 QoQ +96%——这是管理层为 Rubin 量产主动预置的信号，而非乐观假设。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但 beat 幅度在收窄 = re-rating 风险。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连续 7 季 Revenue beat 指引中值在 +$1.1B–+$3.6B（+2.5%–+7.9%），FY27Q2 $91B 指引已把预期抬高。若 beat 收敛至 +$1–2B，可能触发「buy the rumor, sell the news」的技术性调整，尤其在 Rubin 切换期 GM 可能短暂低于 75% 的背景下。下方图为季度营收与 YoY 增速（含 forecast E），可见增速虽高但二阶导（加速度）已转负。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3.2：季度营收与 YoY 增速（内部模型，含预测 E） (US$ billions / % YoY)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2：季度营收与 YoY 增速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3.3 GM 天花板与资本回报：下行地基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GM 被管理层主动封顶在 mid-70s。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FY26Q4 EC 管理层明确告诫投资者不要将 GM 建模于 mid-70s 以上。HBM/CoWoS 成本上行 + Rubin 组合切换使 GM 缺乏上行弹性（Blackwell 过渡期曾从 75.7% 降至 73.5%，FY26Q1 H20 charge 更压至 61.0%）。含义很直接：未来 EPS 的 upside 几乎全部来自 volume，而非 margin——这把投资逻辑从「成长 + 提效」收窄为「纯 volume 兑现」。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下行则有机械支撑。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$80B 回购授权 + 季度分红 $0.25 + Computex 确认的 50%+ FCF 多年返还承诺，构成「类股息」下行地基（单季回报速率 ~$20B）。FY27Q1 FCF $49B。以 18.5x FY28E EPS（内部）/ 16.40x（共识）计，估值并非泡沫区，资本回报为股价提供了不对称的下行保护。</w:t>
      </w:r>
    </w:p>
    <w:p>
      <w:pPr>
        <w:spacing w:after="55" w:before="16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103455"/>
          <w:sz w:val="17"/>
          <w:szCs w:val="17"/>
        </w:rPr>
        <w:t xml:space="preserve">图 3.3：季度非-GAAP 净利润（内部模型，含预测 E） (US$ billions)</w:t>
      </w:r>
    </w:p>
    <w:p>
      <w:pPr>
        <w:spacing w:after="150" w:before="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chart" descr="Generated chart" title="图 3.3：季度非-GAAP 净利润（内部模型，含预测 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left"/>
      </w:pPr>
      <w:r>
        <w:rPr>
          <w:rFonts w:ascii="Roboto" w:cs="Roboto" w:eastAsia="Roboto" w:hAnsi="Roboto"/>
          <w:b w:val="false"/>
          <w:bCs w:val="false"/>
          <w:i/>
          <w:iCs/>
          <w:color w:val="8C97A3"/>
          <w:sz w:val="11"/>
          <w:szCs w:val="11"/>
        </w:rPr>
        <w:t xml:space="preserve">Source: Internal model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4. 财务与运营数据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26Q4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44,062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46,743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57,006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68,127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81,615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90,933.49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91,535.80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GPM 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72.7%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73.6%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75.2%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74.6%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Operating Income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23,275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30,165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37,752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46,107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53,783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59,835.72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61,534.58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NI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19,894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25,783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31,767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39,552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45,548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49,553.19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52,414.11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$1.30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$1.62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$1.87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$2.14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4.2 年度预测（Non-GAAP，US$mn / per share）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FY27E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FY28E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FY29E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FY30E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358,085.24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454,325.56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541,906.80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636,560.22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Non-GAAP EPS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$8.24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$10.81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$13.20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$15.81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4.3 核心运营假设（model driver，期末为日历季）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27Q2E (Jul'26)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27Q3E (Oct'26)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27Q4E (Jan'27)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28Q1E (Apr'27)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DC 收入增速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104.0%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40.0%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GM 改善 Y/Y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230bps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100bps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0bps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非-GAAP 税率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15.0%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来源：公司财报与内部模型；标 E 为内部预测。本节数字与文中图表同源于一套财务模型。</w:t>
      </w:r>
    </w:p>
    <w:p>
      <w:pPr>
        <w:spacing w:after="50" w:before="160" w:line="36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103455"/>
          <w:sz w:val="28"/>
          <w:szCs w:val="28"/>
        </w:rPr>
        <w:t xml:space="preserve">5. 我们的判断与跟踪清单</w:t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000000"/>
          <w:sz w:val="20"/>
          <w:szCs w:val="20"/>
        </w:rPr>
        <w:t xml:space="preserve">维持建设性，风险偏「时间」而非「方向」。 </w:t>
      </w: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增长的真伪不再是辩论焦点；替代真实但走双轨、节奏偏慢；$1T 能见度史上最高，但 beat 幅度收窄 + GM 无弹性，使 upside 收窄为「volume + Vera CPU 新 TAM」。在 FY27Q2（Aug 26）之前，下行有 $80B 回购 + 50% FCF 的机械支撑，上行则取决于 $91B guide 的兑现幅度。</w:t>
      </w:r>
    </w:p>
    <w:p>
      <w:pPr>
        <w:spacing w:after="60" w:before="140" w:line="280"/>
        <w:jc w:val="left"/>
      </w:pPr>
      <w:r>
        <w:rPr>
          <w:rFonts w:ascii="Roboto" w:cs="Roboto" w:eastAsia="KaiTi" w:hAnsi="Roboto"/>
          <w:b/>
          <w:bCs/>
          <w:i w:val="false"/>
          <w:iCs w:val="false"/>
          <w:color w:val="212121"/>
          <w:sz w:val="20"/>
          <w:szCs w:val="20"/>
        </w:rPr>
        <w:t xml:space="preserve">5.1 未来 1-2 季关键验证点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D9DEE3" w:sz="4"/>
          <w:right w:val="none" w:color="FFFFFF" w:sz="0"/>
          <w:insideH w:val="single" w:color="D9DEE3" w:sz="4"/>
          <w:insideV w:val="none" w:color="FFFFFF" w:sz="0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103455" w:sz="4"/>
              <w:right w:val="none" w:color="FFFFFF" w:sz="0"/>
            </w:tcBorders>
            <w:shd w:fill="103455" w:val="clear"/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Hyperscaler Q2 财报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CY2026 CapEx guidance 是否维持 $700B+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下修 &gt;15% 挑战 bull 核心假设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2026-08-26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NVDA FY27Q2 业绩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$91B guide 兑现幅度；GM 守 75%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beat $3B+ 可能触发 TP 上调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2026-10 前后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Rubin 首批出货 (FY27Q3)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CPU:GPU 1:1 比例兑现；CoWoS/HBM4 产能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验证 $200B CPU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持续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ASIC 竞争指标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Google TPU 外销客户数；Meta 是否官宣 2027 用 TPU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9DEE3" w:sz="4"/>
              <w:right w:val="none" w:color="FFFFFF" w:sz="0"/>
            </w:tcBorders>
            <w:tcMar>
              <w:top w:type="dxa" w:w="86"/>
              <w:left w:type="dxa" w:w="64"/>
              <w:bottom w:type="dxa" w:w="86"/>
              <w:right w:type="dxa" w:w="64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Roboto" w:cs="Roboto" w:eastAsia="KaiTi" w:hAnsi="Roboto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替代提速则压缩份额假设</w:t>
            </w:r>
          </w:p>
        </w:tc>
      </w:tr>
    </w:tbl>
    <w:p>
      <w:pPr>
        <w:spacing w:after="0" w:before="9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2"/>
          <w:szCs w:val="2"/>
        </w:rPr>
        <w:t xml:space="preserve"/>
      </w:r>
    </w:p>
    <w:p>
      <w:pPr>
        <w:spacing w:after="90" w:before="0" w:line="280"/>
        <w:jc w:val="left"/>
      </w:pPr>
      <w:r>
        <w:rPr>
          <w:rFonts w:ascii="Roboto" w:cs="Roboto" w:eastAsia="KaiTi" w:hAnsi="Roboto"/>
          <w:b w:val="false"/>
          <w:bCs w:val="false"/>
          <w:i w:val="false"/>
          <w:iCs w:val="false"/>
          <w:color w:val="212121"/>
          <w:sz w:val="20"/>
          <w:szCs w:val="20"/>
        </w:rPr>
        <w:t xml:space="preserve">来源：公司财报、管理层指引、Citi Research 及内部模型。</w:t>
      </w:r>
    </w:p>
    <w:sectPr>
      <w:headerReference w:type="default" r:id="rId8"/>
      <w:footerReference w:type="default" r:id="rId9"/>
      <w:type w:val="nextPage"/>
      <w:pgSz w:w="11906" w:h="16838" w:orient="portrait"/>
      <w:pgMar w:top="720" w:right="964" w:bottom="620" w:left="964" w:header="260" w:footer="2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spacing w:after="12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analyst certifications and important disclosure information at the end of this report.</w:t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* Uninodue Research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87919C" w:sz="4" w:space="1"/>
      </w:pBdr>
      <w:spacing w:after="0" w:before="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6"/>
        <w:szCs w:val="16"/>
      </w:rPr>
      <w:t xml:space="preserve"/>
    </w:r>
  </w:p>
  <w:p>
    <w:pPr>
      <w:tabs>
        <w:tab w:val="right" w:pos="9978"/>
      </w:tabs>
      <w:spacing w:after="10" w:before="18" w:line="170"/>
      <w:jc w:val="left"/>
    </w:pPr>
    <w:r>
      <w:rPr>
        <w:rFonts w:ascii="Roboto" w:cs="Roboto" w:eastAsia="Roboto" w:hAnsi="Roboto"/>
        <w:b/>
        <w:bCs/>
        <w:i w:val="false"/>
        <w:iCs w:val="false"/>
        <w:color w:val="000000"/>
        <w:sz w:val="11"/>
        <w:szCs w:val="11"/>
      </w:rPr>
      <w:t xml:space="preserve">Please see important disclosure information in this report.</w:t>
    </w: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2"/>
        <w:szCs w:val="12"/>
      </w:rPr>
      <w:t xml:space="preserve">	</w:t>
    </w:r>
    <w:r>
      <w:rPr>
        <w:rFonts w:ascii="Roboto" w:cs="Roboto" w:eastAsia="Roboto" w:hAnsi="Roboto"/>
        <w:sz w:val="11"/>
        <w:szCs w:val="11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150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8C97A3"/>
        <w:sz w:val="10"/>
        <w:szCs w:val="10"/>
      </w:rPr>
      <w:t xml:space="preserve">This report is intended for Uninodue clients only. Unauthorized distribution is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200"/>
      <w:gridCol w:w="5778"/>
    </w:tblGrid>
    <w:tr>
      <w:trPr>
        <w:trHeight w:val="560" w:hRule="exact"/>
      </w:trPr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"/>
            <w:right w:type="dxa" w:w="8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202020"/>
              <w:sz w:val="22"/>
              <w:szCs w:val="22"/>
            </w:rPr>
            <w:t xml:space="preserve">Uninodue</w:t>
          </w:r>
        </w:p>
      </w:tc>
      <w:tc>
        <w:tcPr>
          <w:tcW w:type="dxa" w:w="5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80"/>
            <w:bottom w:type="dxa" w:w="2"/>
            <w:right w:type="dxa" w:w="0"/>
          </w:tcMar>
          <w:vAlign w:val="bottom"/>
        </w:tcPr>
        <w:p>
          <w:pPr>
            <w:spacing w:after="6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0084BF"/>
              <w:sz w:val="12"/>
              <w:szCs w:val="12"/>
            </w:rPr>
            <w:t xml:space="preserve">NVIDIA Corporation (NVDA)</w:t>
          </w:r>
        </w:p>
        <w:p>
          <w:pPr>
            <w:spacing w:after="10" w:before="0"/>
            <w:jc w:val="righ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103455"/>
              <w:sz w:val="12"/>
              <w:szCs w:val="12"/>
            </w:rPr>
            <w:t xml:space="preserve">Equity Research</w:t>
          </w:r>
        </w:p>
        <w:p>
          <w:pPr>
            <w:spacing w:after="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103455"/>
              <w:sz w:val="11"/>
              <w:szCs w:val="11"/>
            </w:rPr>
            <w:t xml:space="preserve">June 11, 2026</w:t>
          </w:r>
        </w:p>
      </w:tc>
    </w:tr>
  </w:tbl>
  <w:p>
    <w:pPr>
      <w:pBdr>
        <w:bottom w:val="single" w:color="87919C" w:sz="4" w:space="1"/>
      </w:pBdr>
      <w:spacing w:after="70" w:before="0" w:line="1"/>
      <w:jc w:val="left"/>
    </w:pPr>
    <w:r>
      <w:rPr>
        <w:rFonts w:ascii="Roboto" w:cs="Roboto" w:eastAsia="Roboto" w:hAnsi="Roboto"/>
        <w:b w:val="false"/>
        <w:bCs w:val="false"/>
        <w:i w:val="false"/>
        <w:iCs w:val="false"/>
        <w:color w:val="212121"/>
        <w:sz w:val="1"/>
        <w:szCs w:val="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4a125a9aa32e2dc9d948bb6aa440a4eb7d83793a.png"/><Relationship Id="rId11" Type="http://schemas.openxmlformats.org/officeDocument/2006/relationships/image" Target="media/2c4bf4ce8973c53f0450a25ed2e41d2a74a386c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2026-06-11T08:10:48.900Z</dcterms:created>
  <dcterms:modified xsi:type="dcterms:W3CDTF">2026-06-11T08:10:48.903Z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